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SimSun" w:hAnsi="Times New Roman"/>
          <w:b/>
          <w:bCs/>
          <w:color w:val="2E5A87"/>
          <w:sz w:val="28"/>
          <w:szCs w:val="28"/>
        </w:rPr>
        <w:t xml:space="preserve">DOCTORAL RESEARCH SYNOPSIS</w:t>
      </w:r>
    </w:p>
    <w:p>
      <w:pPr>
        <w:spacing w:after="500"/>
        <w:jc w:val="center"/>
      </w:pPr>
      <w:r>
        <w:rPr>
          <w:rFonts w:ascii="Times New Roman" w:cs="Times New Roman" w:eastAsia="SimSun" w:hAnsi="Times New Roman"/>
          <w:b/>
          <w:bCs/>
          <w:color w:val="1F3864"/>
          <w:sz w:val="34"/>
          <w:szCs w:val="34"/>
        </w:rPr>
        <w:t xml:space="preserve">An Agentic AI Framework for Early Identification, Longitudinal Monitoring, and Personalized Intervention of Children's Language Difficulties (Orthographic and Phonological) from Malayalam Handwritten Data</w:t>
      </w:r>
    </w:p>
    <w:p>
      <w:pPr>
        <w:spacing w:after="100"/>
        <w:jc w:val="center"/>
      </w:pPr>
      <w:r>
        <w:rPr>
          <w:rFonts w:ascii="Times New Roman" w:cs="Times New Roman" w:eastAsia="SimSun" w:hAnsi="Times New Roman"/>
          <w:sz w:val="24"/>
          <w:szCs w:val="24"/>
        </w:rPr>
        <w:t xml:space="preserve">Research Scholar: Dhanya Sujatha</w:t>
      </w:r>
    </w:p>
    <w:p>
      <w:pPr>
        <w:spacing w:after="100"/>
        <w:jc w:val="center"/>
      </w:pPr>
      <w:r>
        <w:rPr>
          <w:rFonts w:ascii="Times New Roman" w:cs="Times New Roman" w:eastAsia="SimSun" w:hAnsi="Times New Roman"/>
          <w:sz w:val="24"/>
          <w:szCs w:val="24"/>
        </w:rPr>
        <w:t xml:space="preserve">Amrita School of Computing, Amrita Vishwa Vidyapeetham, Amritapuri, Kerala, India</w:t>
      </w:r>
    </w:p>
    <w:p>
      <w:pPr>
        <w:spacing w:after="700"/>
        <w:jc w:val="center"/>
      </w:pPr>
      <w:r>
        <w:rPr>
          <w:rFonts w:ascii="Times New Roman" w:cs="Times New Roman" w:eastAsia="SimSun" w:hAnsi="Times New Roman"/>
          <w:sz w:val="24"/>
          <w:szCs w:val="24"/>
        </w:rPr>
        <w:t xml:space="preserve">Supervisor: Dr. Prema Nedungadi</w:t>
      </w:r>
    </w:p>
    <w:p>
      <w:pPr>
        <w:spacing w:after="100"/>
        <w:jc w:val="center"/>
      </w:pPr>
      <w:r>
        <w:rPr>
          <w:rFonts w:ascii="Times New Roman" w:cs="Times New Roman" w:eastAsia="SimSun" w:hAnsi="Times New Roman"/>
          <w:i/>
          <w:iCs/>
          <w:color w:val="2E5A87"/>
          <w:sz w:val="22"/>
          <w:szCs w:val="22"/>
        </w:rPr>
        <w:t xml:space="preserve">Submitted for the Doctoral Qualifier Examination</w:t>
      </w:r>
    </w:p>
    <w:p>
      <w:pPr>
        <w:spacing w:after="140" w:line="300"/>
        <w:jc w:val="center"/>
      </w:pPr>
      <w:r>
        <w:rPr>
          <w:rFonts w:ascii="Times New Roman" w:cs="Times New Roman" w:eastAsia="SimSun" w:hAnsi="Times New Roman"/>
          <w:color w:val="2E5A87"/>
          <w:sz w:val="22"/>
          <w:szCs w:val="22"/>
        </w:rPr>
        <w:t xml:space="preserve">2026</w:t>
      </w:r>
    </w:p>
    <w:p>
      <w:pPr>
        <w:pageBreakBefore/>
      </w:pPr>
    </w:p>
    <w:p>
      <w:pPr>
        <w:pStyle w:val="Heading1"/>
        <w:spacing w:after="140" w:before="300"/>
      </w:pPr>
      <w:r>
        <w:rPr>
          <w:rFonts w:ascii="Times New Roman" w:cs="Times New Roman" w:eastAsia="SimSun" w:hAnsi="Times New Roman"/>
          <w:b/>
          <w:bCs/>
          <w:color w:val="1F3864"/>
          <w:sz w:val="30"/>
          <w:szCs w:val="30"/>
        </w:rPr>
        <w:t xml:space="preserve">Table of Contents</w:t>
      </w:r>
    </w:p>
    <w:p>
      <w:pPr>
        <w:spacing w:after="140" w:line="300"/>
      </w:pPr>
      <w:r>
        <w:rPr>
          <w:rFonts w:ascii="Times New Roman" w:cs="Times New Roman" w:eastAsia="SimSun" w:hAnsi="Times New Roman"/>
          <w:i/>
          <w:iCs/>
          <w:color w:val="8FA8C0"/>
          <w:sz w:val="20"/>
          <w:szCs w:val="20"/>
        </w:rPr>
        <w:t xml:space="preserve">Right-click the table and choose Update Field to refresh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1. Introduction and Motivation</w:t>
          </w:r>
          <w:r>
            <w:tab/>
          </w:r>
          <w:r>
            <w:t>3</w:t>
          </w:r>
        </w:p>
        <w:p>
          <w:pPr>
            <w:pStyle w:val="TOC1"/>
            <w:tabs>
              <w:tab w:val="right" w:leader="dot" w:pos="9000"/>
            </w:tabs>
            <w:ind w:left="0"/>
          </w:pPr>
          <w:r>
            <w:t>2. Problem Statement</w:t>
          </w:r>
          <w:r>
            <w:tab/>
          </w:r>
          <w:r>
            <w:t>4</w:t>
          </w:r>
        </w:p>
        <w:p>
          <w:pPr>
            <w:pStyle w:val="TOC1"/>
            <w:tabs>
              <w:tab w:val="right" w:leader="dot" w:pos="9000"/>
            </w:tabs>
            <w:ind w:left="0"/>
          </w:pPr>
          <w:r>
            <w:t>3. Scope and Definitions</w:t>
          </w:r>
          <w:r>
            <w:tab/>
          </w:r>
          <w:r>
            <w:t>5</w:t>
          </w:r>
        </w:p>
        <w:p>
          <w:pPr>
            <w:pStyle w:val="TOC1"/>
            <w:tabs>
              <w:tab w:val="right" w:leader="dot" w:pos="9000"/>
            </w:tabs>
            <w:ind w:left="0"/>
          </w:pPr>
          <w:r>
            <w:t>4. Literature Review and Research Gap</w:t>
          </w:r>
          <w:r>
            <w:tab/>
          </w:r>
          <w:r>
            <w:t>6</w:t>
          </w:r>
        </w:p>
        <w:p>
          <w:pPr>
            <w:pStyle w:val="TOC1"/>
            <w:tabs>
              <w:tab w:val="right" w:leader="dot" w:pos="9000"/>
            </w:tabs>
            <w:ind w:left="0"/>
          </w:pPr>
          <w:r>
            <w:t>5. Research Questions and Objectives</w:t>
          </w:r>
          <w:r>
            <w:tab/>
          </w:r>
          <w:r>
            <w:t>8</w:t>
          </w:r>
        </w:p>
        <w:p>
          <w:pPr>
            <w:pStyle w:val="TOC1"/>
            <w:tabs>
              <w:tab w:val="right" w:leader="dot" w:pos="9000"/>
            </w:tabs>
            <w:ind w:left="0"/>
          </w:pPr>
          <w:r>
            <w:t>6. Work Completed (Under Review)</w:t>
          </w:r>
          <w:r>
            <w:tab/>
          </w:r>
          <w:r>
            <w:t>9</w:t>
          </w:r>
        </w:p>
        <w:p>
          <w:pPr>
            <w:pStyle w:val="TOC1"/>
            <w:tabs>
              <w:tab w:val="right" w:leader="dot" w:pos="9000"/>
            </w:tabs>
            <w:ind w:left="0"/>
          </w:pPr>
          <w:r>
            <w:t>7. Proposed Methodology: The Agentic Diagnostic-Intervention Layer</w:t>
          </w:r>
          <w:r>
            <w:tab/>
          </w:r>
          <w:r>
            <w:t>10</w:t>
          </w:r>
        </w:p>
        <w:p>
          <w:pPr>
            <w:pStyle w:val="TOC1"/>
            <w:tabs>
              <w:tab w:val="right" w:leader="dot" w:pos="9000"/>
            </w:tabs>
            <w:ind w:left="0"/>
          </w:pPr>
          <w:r>
            <w:t>8. Novelty and Expected Contributions</w:t>
          </w:r>
          <w:r>
            <w:tab/>
          </w:r>
          <w:r>
            <w:t>13</w:t>
          </w:r>
        </w:p>
        <w:p>
          <w:pPr>
            <w:pStyle w:val="TOC1"/>
            <w:tabs>
              <w:tab w:val="right" w:leader="dot" w:pos="9000"/>
            </w:tabs>
            <w:ind w:left="0"/>
          </w:pPr>
          <w:r>
            <w:t>9. Evaluation Plan and Datasets</w:t>
          </w:r>
          <w:r>
            <w:tab/>
          </w:r>
          <w:r>
            <w:t>14</w:t>
          </w:r>
        </w:p>
        <w:p>
          <w:pPr>
            <w:pStyle w:val="TOC1"/>
            <w:tabs>
              <w:tab w:val="right" w:leader="dot" w:pos="9000"/>
            </w:tabs>
            <w:ind w:left="0"/>
          </w:pPr>
          <w:r>
            <w:t>10. Timeline</w:t>
          </w:r>
          <w:r>
            <w:tab/>
          </w:r>
          <w:r>
            <w:t>15</w:t>
          </w:r>
        </w:p>
        <w:p>
          <w:pPr>
            <w:pStyle w:val="TOC1"/>
            <w:tabs>
              <w:tab w:val="right" w:leader="dot" w:pos="9000"/>
            </w:tabs>
            <w:ind w:left="0"/>
          </w:pPr>
          <w:r>
            <w:t>11. Risks, Ethics, and Mitigation</w:t>
          </w:r>
          <w:r>
            <w:tab/>
          </w:r>
          <w:r>
            <w:t>16</w:t>
          </w:r>
        </w:p>
        <w:p>
          <w:pPr>
            <w:pStyle w:val="TOC1"/>
            <w:tabs>
              <w:tab w:val="right" w:leader="dot" w:pos="9000"/>
            </w:tabs>
            <w:ind w:left="0"/>
          </w:pPr>
          <w:r>
            <w:t>12. Expected Outcomes and Publications</w:t>
          </w:r>
          <w:r>
            <w:tab/>
          </w:r>
          <w:r>
            <w:t>17</w:t>
          </w:r>
        </w:p>
        <w:p>
          <w:r>
            <w:fldChar w:fldCharType="end"/>
          </w:r>
        </w:p>
      </w:sdtContent>
    </w:sdt>
    <w:p>
      <w:pPr>
        <w:pageBreakBefore/>
      </w:pPr>
    </w:p>
    <w:p>
      <w:pPr>
        <w:pStyle w:val="Heading1"/>
        <w:spacing w:after="140" w:before="300"/>
      </w:pPr>
      <w:r>
        <w:rPr>
          <w:rFonts w:ascii="Times New Roman" w:cs="Times New Roman" w:eastAsia="SimSun" w:hAnsi="Times New Roman"/>
          <w:b/>
          <w:bCs/>
          <w:color w:val="1F3864"/>
          <w:sz w:val="30"/>
          <w:szCs w:val="30"/>
        </w:rPr>
        <w:t xml:space="preserve">1. Introduction and Motivation</w:t>
      </w:r>
    </w:p>
    <w:p>
      <w:pPr>
        <w:spacing w:after="140" w:line="300"/>
        <w:ind w:firstLine="504"/>
        <w:jc w:val="both"/>
      </w:pPr>
      <w:r>
        <w:rPr>
          <w:rFonts w:ascii="Times New Roman" w:cs="Times New Roman" w:eastAsia="SimSun" w:hAnsi="Times New Roman"/>
          <w:sz w:val="24"/>
          <w:szCs w:val="24"/>
        </w:rPr>
        <w:t xml:space="preserve">Specific Learning Disorder (SLD) is among the most prevalent yet least identified conditions affecting Indian schoolchildren. The Ernakulam Learning Disorder (ELD) study, a rigorous school-based prevalence study in Kerala using the NIMHANS Index and Malin's Intelligence Scale, found an SLD prevalence of 16.49% among children in standards 4–7, with impairment in written expression (15.6%) being the most common subtype, ahead of reading (12.57%) and mathematics (9.93%). Its most consequential finding for this research: none of the 244 children identified with SLD had ever been evaluated or received remedial education prior to the study. The barrier is not awareness alone but arithmetic — a small number of specialists cannot administer hour-long subjective assessments to lakhs of children, and no scalable early-identification mechanism exists in Indian schools.</w:t>
      </w:r>
    </w:p>
    <w:p>
      <w:pPr>
        <w:spacing w:after="140" w:line="300"/>
        <w:ind w:firstLine="504"/>
        <w:jc w:val="both"/>
      </w:pPr>
      <w:r>
        <w:rPr>
          <w:rFonts w:ascii="Times New Roman" w:cs="Times New Roman" w:eastAsia="SimSun" w:hAnsi="Times New Roman"/>
          <w:sz w:val="24"/>
          <w:szCs w:val="24"/>
        </w:rPr>
        <w:t xml:space="preserve">Early identification is where the value lies. Intervention research consistently shows that structured, phonics-based support delivered at the preschool and early-primary stage measurably closes literacy gaps even in children at significant risk, whereas late-identified children carry the gap forward. A system that notices difficulties early, specifies them precisely, and tracks whether help is working is therefore of direct educational and public-health significance.</w:t>
      </w:r>
    </w:p>
    <w:p>
      <w:pPr>
        <w:spacing w:after="140" w:line="300"/>
        <w:ind w:firstLine="504"/>
        <w:jc w:val="both"/>
      </w:pPr>
      <w:r>
        <w:rPr>
          <w:rFonts w:ascii="Times New Roman" w:cs="Times New Roman" w:eastAsia="SimSun" w:hAnsi="Times New Roman"/>
          <w:sz w:val="24"/>
          <w:szCs w:val="24"/>
        </w:rPr>
        <w:t xml:space="preserve">Handwriting is the ideal signal source for such a system — as a sensor, not as the disorder itself. It is produced daily in every classroom, requires no equipment beyond a phone camera, and, crucially, a child's letters may be cleanly formed while what is written is linguistically wrong: the handwritten word jointly encodes orthographic errors (vowel signs, conjuncts, spelling) and, through the spelling pattern, the child's underlying phonological representation. This research therefore targets language difficulties (the dyslexia-type profile) revealed through handwriting, rather than motoric writing difficulty (dysgraphia). The 2025 University at Buffalo DDBIC framework established that the majority of behavioral indicators of dyslexia and dysgraphia (reversals, spelling errors, transpositions) are extractable from static handwriting images.</w:t>
      </w:r>
    </w:p>
    <w:p>
      <w:pPr>
        <w:spacing w:after="140" w:line="300"/>
        <w:ind w:firstLine="504"/>
        <w:jc w:val="both"/>
      </w:pPr>
      <w:r>
        <w:rPr>
          <w:rFonts w:ascii="Times New Roman" w:cs="Times New Roman" w:eastAsia="SimSun" w:hAnsi="Times New Roman"/>
          <w:sz w:val="24"/>
          <w:szCs w:val="24"/>
        </w:rPr>
        <w:t xml:space="preserve">This research targets Malayalam, the scholar's native language and the literacy medium of millions of Kerala children, spoken by roughly 45 million people. Two properties make Malayalam both necessary and advantageous. Necessary: a screening instrument must operate in the child's medium of literacy instruction, and state-syllabus children — the group at significantly higher SLD risk (odds ratio 6.97 in the ELD study) — learn in Malayalam. Advantageous: Malayalam is a near-transparent akshara (alpha-syllabic) orthography in which spelling errors map to phonological causes far more directly than in deep English orthography, making error analysis more diagnostic. English is explicitly excluded as a target language, both because it is already saturated with research and because the architecture exploits alphasyllabic structure that transfers to other Indic scripts (Tamil, Kannada, Telugu, Devanagari) rather than to English.</w:t>
      </w:r>
    </w:p>
    <w:p>
      <w:pPr>
        <w:pStyle w:val="Heading1"/>
        <w:spacing w:after="140" w:before="300"/>
      </w:pPr>
      <w:r>
        <w:rPr>
          <w:rFonts w:ascii="Times New Roman" w:cs="Times New Roman" w:eastAsia="SimSun" w:hAnsi="Times New Roman"/>
          <w:b/>
          <w:bCs/>
          <w:color w:val="1F3864"/>
          <w:sz w:val="30"/>
          <w:szCs w:val="30"/>
        </w:rPr>
        <w:t xml:space="preserve">2. Problem Statement</w:t>
      </w:r>
    </w:p>
    <w:p>
      <w:pPr>
        <w:spacing w:after="160" w:before="120" w:line="300"/>
        <w:ind w:left="431" w:right="431"/>
        <w:jc w:val="both"/>
      </w:pPr>
      <w:r>
        <w:rPr>
          <w:rFonts w:ascii="Times New Roman" w:cs="Times New Roman" w:eastAsia="SimSun" w:hAnsi="Times New Roman"/>
          <w:i/>
          <w:iCs/>
          <w:sz w:val="24"/>
          <w:szCs w:val="24"/>
        </w:rPr>
        <w:t xml:space="preserve">Language difficulties involving orthographic and phonological processing are the most prevalent yet least screened form of SLD among Indian primary-school children, and they are visible in everyday handwritten output: the writing act itself may be fluent, but what is written is linguistically wrong — phoneme–grapheme mismappings, vowel-length errors, retroflex confusions. Here handwriting is the sensor, not the disorder; the target is the language difficulty revealed through it (the dyslexia-type profile), distinct from motoric writing difficulty (dysgraphia), which is outside the primary scope. Early identification is decisive, yet screening today depends on scarce specialists administering subjective, time-intensive assessments, and no such system exists for Malayalam. Existing computational approaches that analyse handwriting (a) overwhelmingly target English/Latin scripts and adult handwriting; (b) treat recognition accuracy as the goal and therefore auto-correct away the very errors that carry the diagnostic signal — our own benchmarking shows frontier vision-language models such as GPT-5.1 and Claude Opus 4 achieve only 20–21% character accuracy on children's Malayalam handwriting precisely because they normalize non-standard spellings; and (c) stop at one-time detection — a binary label — offering neither an explanation of which specific difficulties the child shows and what to work on, nor any mechanism to track whether the child is improving, stagnant, or worsening over time.</w:t>
      </w:r>
    </w:p>
    <w:p>
      <w:pPr>
        <w:spacing w:after="160" w:line="300"/>
        <w:ind w:left="431" w:right="431"/>
        <w:jc w:val="both"/>
      </w:pPr>
      <w:r>
        <w:rPr>
          <w:rFonts w:ascii="Times New Roman" w:cs="Times New Roman" w:eastAsia="SimSun" w:hAnsi="Times New Roman"/>
          <w:i/>
          <w:iCs/>
          <w:sz w:val="24"/>
          <w:szCs w:val="24"/>
        </w:rPr>
        <w:t xml:space="preserve">This research proposes an end-to-end identification–insight–monitoring framework in which error-preserving handwritten character recognition and error-preserving grapheme-to-phoneme (G2P) analysis of Malayalam children's writing feed an agentic diagnostic layer that maintains a longitudinal, per-error-class learner model; every new writing sample is compared against the child's own history to produce actionable insights and progress verdicts; and an agentic intervention layer converts those insights into personalized, tiered remedial activities whose effects are measured by the same error-preserving perception pipeline — a closed loop under teacher supervision, with an architecture designed to transfer to other akshara-based scripts.</w:t>
      </w:r>
    </w:p>
    <w:p>
      <w:pPr>
        <w:spacing w:after="140" w:line="300"/>
        <w:ind w:firstLine="504"/>
        <w:jc w:val="both"/>
      </w:pPr>
      <w:r>
        <w:rPr>
          <w:rFonts w:ascii="Times New Roman" w:cs="Times New Roman" w:eastAsia="SimSun" w:hAnsi="Times New Roman"/>
          <w:sz w:val="24"/>
          <w:szCs w:val="24"/>
        </w:rPr>
        <w:t xml:space="preserve">The system's identity is monitoring-and-insight, not one-shot detection: it answers not "does this child have a problem?" but three continuous questions — which difficulties does this child show, what should we work on, and is the help working? The system is a screening and support tool, not a diagnostic instrument; final diagnosis remains with clinicians.</w:t>
      </w:r>
    </w:p>
    <w:p>
      <w:pPr>
        <w:pStyle w:val="Heading1"/>
        <w:spacing w:after="140" w:before="300"/>
      </w:pPr>
      <w:r>
        <w:rPr>
          <w:rFonts w:ascii="Times New Roman" w:cs="Times New Roman" w:eastAsia="SimSun" w:hAnsi="Times New Roman"/>
          <w:b/>
          <w:bCs/>
          <w:color w:val="1F3864"/>
          <w:sz w:val="30"/>
          <w:szCs w:val="30"/>
        </w:rPr>
        <w:t xml:space="preserve">3. Scope and Definitions</w:t>
      </w:r>
    </w:p>
    <w:p>
      <w:pPr>
        <w:pStyle w:val="ListParagraph"/>
        <w:numPr>
          <w:ilvl w:val="0"/>
          <w:numId w:val="2"/>
        </w:numPr>
        <w:spacing w:after="80" w:line="300"/>
      </w:pPr>
      <w:r>
        <w:rPr>
          <w:rFonts w:ascii="Times New Roman" w:cs="Times New Roman" w:eastAsia="SimSun" w:hAnsi="Times New Roman"/>
          <w:sz w:val="24"/>
          <w:szCs w:val="24"/>
        </w:rPr>
        <w:t xml:space="preserve">Target population: children in the early literacy-acquisition band (approximately ages 4–8, preschool through standard 2–3), where intervention effectiveness is strongest.</w:t>
      </w:r>
    </w:p>
    <w:p>
      <w:pPr>
        <w:pStyle w:val="ListParagraph"/>
        <w:numPr>
          <w:ilvl w:val="0"/>
          <w:numId w:val="2"/>
        </w:numPr>
        <w:spacing w:after="80" w:line="300"/>
      </w:pPr>
      <w:r>
        <w:rPr>
          <w:rFonts w:ascii="Times New Roman" w:cs="Times New Roman" w:eastAsia="SimSun" w:hAnsi="Times New Roman"/>
          <w:sz w:val="24"/>
          <w:szCs w:val="24"/>
        </w:rPr>
        <w:t xml:space="preserve">Unit of analysis: offline handwriting (scanned or photographed paper). Tablet-based online features (pressure, speed, pauses) are identified as future work.</w:t>
      </w:r>
    </w:p>
    <w:p>
      <w:pPr>
        <w:pStyle w:val="ListParagraph"/>
        <w:numPr>
          <w:ilvl w:val="0"/>
          <w:numId w:val="2"/>
        </w:numPr>
        <w:spacing w:after="80" w:line="300"/>
      </w:pPr>
      <w:r>
        <w:rPr>
          <w:rFonts w:ascii="Times New Roman" w:cs="Times New Roman" w:eastAsia="SimSun" w:hAnsi="Times New Roman"/>
          <w:sz w:val="24"/>
          <w:szCs w:val="24"/>
        </w:rPr>
        <w:t xml:space="preserve">Language scope: Malayalam as the primary target; cross-lingual transfer to at least one additional akshara-script language as the generalization claim. English is out of scope.</w:t>
      </w:r>
    </w:p>
    <w:p>
      <w:pPr>
        <w:pStyle w:val="ListParagraph"/>
        <w:numPr>
          <w:ilvl w:val="0"/>
          <w:numId w:val="2"/>
        </w:numPr>
        <w:spacing w:after="80" w:line="300"/>
      </w:pPr>
      <w:r>
        <w:rPr>
          <w:rFonts w:ascii="Times New Roman" w:cs="Times New Roman" w:eastAsia="SimSun" w:hAnsi="Times New Roman"/>
          <w:sz w:val="24"/>
          <w:szCs w:val="24"/>
        </w:rPr>
        <w:t xml:space="preserve">Measurement mode: structured probe tasks (dictation and picture-naming with known target words), mirroring established Response-to-Intervention (RTI) progress-monitoring practice, so that every diagnostic claim is alignment-verified. Extension to unconstrained free writing is identified as future work.</w:t>
      </w:r>
    </w:p>
    <w:p>
      <w:pPr>
        <w:pStyle w:val="ListParagraph"/>
        <w:numPr>
          <w:ilvl w:val="0"/>
          <w:numId w:val="2"/>
        </w:numPr>
        <w:spacing w:after="80" w:line="300"/>
      </w:pPr>
      <w:r>
        <w:rPr>
          <w:rFonts w:ascii="Times New Roman" w:cs="Times New Roman" w:eastAsia="SimSun" w:hAnsi="Times New Roman"/>
          <w:sz w:val="24"/>
          <w:szCs w:val="24"/>
        </w:rPr>
        <w:t xml:space="preserve">Role boundary: the system provides screening, insight, and progress monitoring for teachers and special educators; it does not diagnose. Human-in-the-loop oversight is a design requirement throughout.</w:t>
      </w:r>
    </w:p>
    <w:p>
      <w:pPr>
        <w:pStyle w:val="Heading1"/>
        <w:spacing w:after="140" w:before="300"/>
      </w:pPr>
      <w:r>
        <w:rPr>
          <w:rFonts w:ascii="Times New Roman" w:cs="Times New Roman" w:eastAsia="SimSun" w:hAnsi="Times New Roman"/>
          <w:b/>
          <w:bCs/>
          <w:color w:val="1F3864"/>
          <w:sz w:val="30"/>
          <w:szCs w:val="30"/>
        </w:rPr>
        <w:t xml:space="preserve">4. Literature Review and Research Gap</w:t>
      </w:r>
    </w:p>
    <w:p>
      <w:pPr>
        <w:spacing w:after="140" w:line="300"/>
        <w:ind w:firstLine="504"/>
        <w:jc w:val="both"/>
      </w:pPr>
      <w:r>
        <w:rPr>
          <w:rFonts w:ascii="Times New Roman" w:cs="Times New Roman" w:eastAsia="SimSun" w:hAnsi="Times New Roman"/>
          <w:sz w:val="24"/>
          <w:szCs w:val="24"/>
        </w:rPr>
        <w:t xml:space="preserve">The thesis sits at the intersection of four research streams. The table summarizes representative work, what each achieves, and the specific gap this research occupies.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400"/>
        <w:gridCol w:w="2400"/>
      </w:tblGrid>
      <w:tr>
        <w:tc>
          <w:tcPr>
            <w:tcW w:type="dxa" w:w="21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Stream</w:t>
            </w:r>
          </w:p>
        </w:tc>
        <w:tc>
          <w:tcPr>
            <w:tcW w:type="dxa" w:w="27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Representative work</w:t>
            </w:r>
          </w:p>
        </w:tc>
        <w:tc>
          <w:tcPr>
            <w:tcW w:type="dxa" w:w="24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What it achieves</w:t>
            </w:r>
          </w:p>
        </w:tc>
        <w:tc>
          <w:tcPr>
            <w:tcW w:type="dxa" w:w="24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Gap occupied by this research</w:t>
            </w:r>
          </w:p>
        </w:tc>
      </w:tr>
      <w:tr>
        <w:tc>
          <w:tcPr>
            <w:tcW w:type="dxa" w:w="2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Handwriting-based dyslexia/dysgraphia screening</w:t>
            </w:r>
          </w:p>
        </w:tc>
        <w:tc>
          <w:tcPr>
            <w:tcW w:type="dxa" w:w="2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DDBIC framework, Univ. at Buffalo (2025); SAU-Net dysgraphia detection; TestGraphia; Asselborn et al. (2020)</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Proves handwriting carries detectable signal; establishes indicator checklists (DDBIC's 17 indicators)</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Almost entirely English/Latin, binary has/disorder classification; treats errors as black-box features; stops at screening, no intervention loop</w:t>
            </w:r>
          </w:p>
        </w:tc>
      </w:tr>
      <w:tr>
        <w:tc>
          <w:tcPr>
            <w:tcW w:type="dxa" w:w="2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Malayalam / Indic handwritten recognition</w:t>
            </w:r>
          </w:p>
        </w:tc>
        <w:tc>
          <w:tcPr>
            <w:tcW w:type="dxa" w:w="2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HERA (scholar's work, under review); DSC + Bi-LSTM (99.75% on 90 classes); CNN-based MHCR</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HERA removes the language prior so output follows visual evidence; classical CNN work is accurate on adult, correct writing</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Prior CNN work trains on correct writing, punishing error preservation; only HERA treats error preservation as architectural, and stops at word level</w:t>
            </w:r>
          </w:p>
        </w:tc>
      </w:tr>
      <w:tr>
        <w:tc>
          <w:tcPr>
            <w:tcW w:type="dxa" w:w="2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Grapheme–phoneme / phonological analysis</w:t>
            </w:r>
          </w:p>
        </w:tc>
        <w:tc>
          <w:tcPr>
            <w:tcW w:type="dxa" w:w="2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OSUR error-preserving G2P (scholar's work, under review); mlphon FST G2P</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OSUR-G2P transcribes mis-spelled akshara input without correction (PER 0.84%) and ships a 12-rule error taxonomy</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mlphon assumes correct spelling and rejects 43.5% of learner spellings; clinical error analysis is manual and English-centric; no longitudinal profiling</w:t>
            </w:r>
          </w:p>
        </w:tc>
      </w:tr>
      <w:tr>
        <w:tc>
          <w:tcPr>
            <w:tcW w:type="dxa" w:w="2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Agentic AI in education</w:t>
            </w:r>
          </w:p>
        </w:tc>
        <w:tc>
          <w:tcPr>
            <w:tcW w:type="dxa" w:w="2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LLM-agents survey (EMNLP Findings 2025); GenMentor tutoring; RL multi-agent ITS (2026)</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Multi-agent planning, adaptive learner modeling, feedback generation are demonstrable</w:t>
            </w:r>
          </w:p>
        </w:tc>
        <w:tc>
          <w:tcPr>
            <w:tcW w:type="dxa" w:w="2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No agentic system consumes handwriting-derived evidence; none targets early-literacy children; none operates in a low-resource Indic language; none is grounded in an RTI/MTSS model</w:t>
            </w:r>
          </w:p>
        </w:tc>
      </w:tr>
    </w:tbl>
    <w:p>
      <w:pPr>
        <w:spacing w:after="140" w:line="300"/>
        <w:ind w:firstLine="504"/>
        <w:jc w:val="both"/>
      </w:pPr>
      <w:r>
        <w:rPr>
          <w:rFonts w:ascii="Times New Roman" w:cs="Times New Roman" w:eastAsia="SimSun" w:hAnsi="Times New Roman"/>
          <w:sz w:val="24"/>
          <w:szCs w:val="24"/>
        </w:rPr>
        <w:t xml:space="preserve">The gap statement follows directly: no existing work connects error-preserving recognition, linguistically-interpreted error profiling, and agent-delivered tiered monitored intervention, in any language — and nothing close exists for Malayalam or any akshara script. The scholar's two under-review works close the first two links (perception and phonological interpretation); the doctoral contribution is the third link — the agentic diagnostic-and-intervention layer.</w:t>
      </w:r>
    </w:p>
    <w:p>
      <w:pPr>
        <w:pStyle w:val="Heading2"/>
        <w:spacing w:after="120" w:before="220"/>
      </w:pPr>
      <w:r>
        <w:rPr>
          <w:rFonts w:ascii="Times New Roman" w:cs="Times New Roman" w:eastAsia="SimSun" w:hAnsi="Times New Roman"/>
          <w:b/>
          <w:bCs/>
          <w:color w:val="2E5A87"/>
          <w:sz w:val="26"/>
          <w:szCs w:val="26"/>
        </w:rPr>
        <w:t xml:space="preserve">4.1 Why error preservation is the core principle</w:t>
      </w:r>
    </w:p>
    <w:p>
      <w:pPr>
        <w:spacing w:after="140" w:line="300"/>
        <w:ind w:firstLine="504"/>
        <w:jc w:val="both"/>
      </w:pPr>
      <w:r>
        <w:rPr>
          <w:rFonts w:ascii="Times New Roman" w:cs="Times New Roman" w:eastAsia="SimSun" w:hAnsi="Times New Roman"/>
          <w:sz w:val="24"/>
          <w:szCs w:val="24"/>
        </w:rPr>
        <w:t xml:space="preserve">Standard handwriting-recognition research optimizes accuracy against a canonical label, treating a child's mistake as noise to be corrected. For this application the error is the data. The scholar's HERA work operationalizes this at the visual layer — retrieval-only recognition with no decoder, so the retrieved label is the output and cannot be normalized by a language prior — and the OSUR/G2P work does the same at the phonological layer, transcribing mis-spelled akshara input without correction. Clinical literature adds the second half of the argument: the pattern of errors differentiates conditions — children with dysgraphia produce near-correct spellings (intact phonology, weak orthographic memory), while children with dyslexia make phonologically-deviant spellings reflecting phonological processing deficits.</w:t>
      </w:r>
    </w:p>
    <w:p>
      <w:pPr>
        <w:pStyle w:val="Heading1"/>
        <w:spacing w:after="140" w:before="300"/>
      </w:pPr>
      <w:r>
        <w:rPr>
          <w:rFonts w:ascii="Times New Roman" w:cs="Times New Roman" w:eastAsia="SimSun" w:hAnsi="Times New Roman"/>
          <w:b/>
          <w:bCs/>
          <w:color w:val="1F3864"/>
          <w:sz w:val="30"/>
          <w:szCs w:val="30"/>
        </w:rPr>
        <w:t xml:space="preserve">5. Research Questions and Objectives</w:t>
      </w:r>
    </w:p>
    <w:p>
      <w:pPr>
        <w:pStyle w:val="Heading2"/>
        <w:spacing w:after="120" w:before="220"/>
      </w:pPr>
      <w:r>
        <w:rPr>
          <w:rFonts w:ascii="Times New Roman" w:cs="Times New Roman" w:eastAsia="SimSun" w:hAnsi="Times New Roman"/>
          <w:b/>
          <w:bCs/>
          <w:color w:val="2E5A87"/>
          <w:sz w:val="26"/>
          <w:szCs w:val="26"/>
        </w:rPr>
        <w:t xml:space="preserve">5.1 Research questions</w:t>
      </w:r>
    </w:p>
    <w:p>
      <w:pPr>
        <w:spacing w:after="60" w:before="120"/>
      </w:pPr>
      <w:r>
        <w:rPr>
          <w:rFonts w:ascii="Times New Roman" w:cs="Times New Roman" w:eastAsia="SimSun" w:hAnsi="Times New Roman"/>
          <w:b/>
          <w:bCs/>
          <w:color w:val="2E5A87"/>
          <w:sz w:val="22"/>
          <w:szCs w:val="22"/>
        </w:rPr>
        <w:t xml:space="preserve">RQ1 (Recognition) — answered by HERA (under review).</w:t>
      </w:r>
    </w:p>
    <w:p>
      <w:pPr>
        <w:spacing w:after="140" w:line="300"/>
        <w:ind w:firstLine="504"/>
        <w:jc w:val="both"/>
      </w:pPr>
      <w:r>
        <w:rPr>
          <w:rFonts w:ascii="Times New Roman" w:cs="Times New Roman" w:eastAsia="SimSun" w:hAnsi="Times New Roman"/>
          <w:sz w:val="24"/>
          <w:szCs w:val="24"/>
        </w:rPr>
        <w:t xml:space="preserve">Can offline Malayalam handwritten word recognition be formulated as error-preserving retrieval, preserving children's spelling deviations with fidelity sufficient for downstream linguistic analysis? Answer: yes — retrieval-only recognition achieves CER 0.17–0.20 on unseen children's writing and outperforms generative VLMs and LLMs that normalize non-standard spellings.</w:t>
      </w:r>
    </w:p>
    <w:p>
      <w:pPr>
        <w:spacing w:after="60" w:before="120"/>
      </w:pPr>
      <w:r>
        <w:rPr>
          <w:rFonts w:ascii="Times New Roman" w:cs="Times New Roman" w:eastAsia="SimSun" w:hAnsi="Times New Roman"/>
          <w:b/>
          <w:bCs/>
          <w:color w:val="2E5A87"/>
          <w:sz w:val="22"/>
          <w:szCs w:val="22"/>
        </w:rPr>
        <w:t xml:space="preserve">RQ2 (Phonological inference) — answered by OSUR-G2P (under review).</w:t>
      </w:r>
    </w:p>
    <w:p>
      <w:pPr>
        <w:spacing w:after="140" w:line="300"/>
        <w:ind w:firstLine="504"/>
        <w:jc w:val="both"/>
      </w:pPr>
      <w:r>
        <w:rPr>
          <w:rFonts w:ascii="Times New Roman" w:cs="Times New Roman" w:eastAsia="SimSun" w:hAnsi="Times New Roman"/>
          <w:sz w:val="24"/>
          <w:szCs w:val="24"/>
        </w:rPr>
        <w:t xml:space="preserve">Given an error-preserved recognized word, can the child's encoded phonological form and the type of deviation (orthographic vs phonological) be recovered automatically? Answer: yes — OSUR akshara tokenization with per-step decoder-conditioned alignment reaches PER 0.84% / GUPER 2.82%, transcribing mis-spelled input that rule-based tools reject.</w:t>
      </w:r>
    </w:p>
    <w:p>
      <w:pPr>
        <w:spacing w:after="60" w:before="120"/>
      </w:pPr>
      <w:r>
        <w:rPr>
          <w:rFonts w:ascii="Times New Roman" w:cs="Times New Roman" w:eastAsia="SimSun" w:hAnsi="Times New Roman"/>
          <w:b/>
          <w:bCs/>
          <w:color w:val="2E5A87"/>
          <w:sz w:val="22"/>
          <w:szCs w:val="22"/>
        </w:rPr>
        <w:t xml:space="preserve">RQ3 (Agentic identification &amp; insight) — open; the doctoral core.</w:t>
      </w:r>
    </w:p>
    <w:p>
      <w:pPr>
        <w:spacing w:after="140" w:line="300"/>
        <w:ind w:firstLine="504"/>
        <w:jc w:val="both"/>
      </w:pPr>
      <w:r>
        <w:rPr>
          <w:rFonts w:ascii="Times New Roman" w:cs="Times New Roman" w:eastAsia="SimSun" w:hAnsi="Times New Roman"/>
          <w:sz w:val="24"/>
          <w:szCs w:val="24"/>
        </w:rPr>
        <w:t xml:space="preserve">Can a tool-augmented agentic layer, holding a longitudinal learner memory built from HERA+G2P snapshots, identify which specific orthographic and phonological difficulties a child shows and generate teacher-actionable, evidence-traced insights — with tool-mediated agents producing more faithful insights than free-reasoning LLM agents, and at-risk identification validated against a standard instrument (NIMHANS Index–based assessment)?</w:t>
      </w:r>
    </w:p>
    <w:p>
      <w:pPr>
        <w:spacing w:after="60" w:before="120"/>
      </w:pPr>
      <w:r>
        <w:rPr>
          <w:rFonts w:ascii="Times New Roman" w:cs="Times New Roman" w:eastAsia="SimSun" w:hAnsi="Times New Roman"/>
          <w:b/>
          <w:bCs/>
          <w:color w:val="2E5A87"/>
          <w:sz w:val="22"/>
          <w:szCs w:val="22"/>
        </w:rPr>
        <w:t xml:space="preserve">RQ3b (Agentic progress monitoring) — open.</w:t>
      </w:r>
    </w:p>
    <w:p>
      <w:pPr>
        <w:spacing w:after="140" w:line="300"/>
        <w:ind w:firstLine="504"/>
        <w:jc w:val="both"/>
      </w:pPr>
      <w:r>
        <w:rPr>
          <w:rFonts w:ascii="Times New Roman" w:cs="Times New Roman" w:eastAsia="SimSun" w:hAnsi="Times New Roman"/>
          <w:sz w:val="24"/>
          <w:szCs w:val="24"/>
        </w:rPr>
        <w:t xml:space="preserve">Can the Insight Agent, reasoning over within-child temporal error trajectories via deterministic statistical tools, reliably classify each monitored difficulty as improving / stagnant / worsening, with verdicts matching measured learning gains and giving earlier signal than periodic re-screening or teacher observation alone?</w:t>
      </w:r>
    </w:p>
    <w:p>
      <w:pPr>
        <w:spacing w:after="60" w:before="120"/>
      </w:pPr>
      <w:r>
        <w:rPr>
          <w:rFonts w:ascii="Times New Roman" w:cs="Times New Roman" w:eastAsia="SimSun" w:hAnsi="Times New Roman"/>
          <w:b/>
          <w:bCs/>
          <w:color w:val="2E5A87"/>
          <w:sz w:val="22"/>
          <w:szCs w:val="22"/>
        </w:rPr>
        <w:t xml:space="preserve">RQ4 (Agentic intervention) — open.</w:t>
      </w:r>
    </w:p>
    <w:p>
      <w:pPr>
        <w:spacing w:after="140" w:line="300"/>
        <w:ind w:firstLine="504"/>
        <w:jc w:val="both"/>
      </w:pPr>
      <w:r>
        <w:rPr>
          <w:rFonts w:ascii="Times New Roman" w:cs="Times New Roman" w:eastAsia="SimSun" w:hAnsi="Times New Roman"/>
          <w:sz w:val="24"/>
          <w:szCs w:val="24"/>
        </w:rPr>
        <w:t xml:space="preserve">Can the Intervention Planner and Content Agent translate a difficulty profile and its progress verdicts into a personalized, RTI/MTSS-consistent plan with phonology-constrained Malayalam content — escalating or de-escalating tiers when a difficulty stagnates or resolves — outperforming a static baseline on learning-gain metrics?</w:t>
      </w:r>
    </w:p>
    <w:p>
      <w:pPr>
        <w:spacing w:after="60" w:before="120"/>
      </w:pPr>
      <w:r>
        <w:rPr>
          <w:rFonts w:ascii="Times New Roman" w:cs="Times New Roman" w:eastAsia="SimSun" w:hAnsi="Times New Roman"/>
          <w:b/>
          <w:bCs/>
          <w:color w:val="2E5A87"/>
          <w:sz w:val="22"/>
          <w:szCs w:val="22"/>
        </w:rPr>
        <w:t xml:space="preserve">RQ5 (Generalization) — open.</w:t>
      </w:r>
    </w:p>
    <w:p>
      <w:pPr>
        <w:spacing w:after="140" w:line="300"/>
        <w:ind w:firstLine="504"/>
        <w:jc w:val="both"/>
      </w:pPr>
      <w:r>
        <w:rPr>
          <w:rFonts w:ascii="Times New Roman" w:cs="Times New Roman" w:eastAsia="SimSun" w:hAnsi="Times New Roman"/>
          <w:sz w:val="24"/>
          <w:szCs w:val="24"/>
        </w:rPr>
        <w:t xml:space="preserve">Do the error schema, the error-preserving methodology, and the agent orchestration transfer to at least one additional akshara-script language with only script-level (not architecture-level) changes?</w:t>
      </w:r>
    </w:p>
    <w:p>
      <w:pPr>
        <w:pStyle w:val="Heading2"/>
        <w:spacing w:after="120" w:before="220"/>
      </w:pPr>
      <w:r>
        <w:rPr>
          <w:rFonts w:ascii="Times New Roman" w:cs="Times New Roman" w:eastAsia="SimSun" w:hAnsi="Times New Roman"/>
          <w:b/>
          <w:bCs/>
          <w:color w:val="2E5A87"/>
          <w:sz w:val="26"/>
          <w:szCs w:val="26"/>
        </w:rPr>
        <w:t xml:space="preserve">5.2 Objectives</w:t>
      </w:r>
    </w:p>
    <w:p>
      <w:pPr>
        <w:pStyle w:val="ListParagraph"/>
        <w:numPr>
          <w:ilvl w:val="0"/>
          <w:numId w:val="2"/>
        </w:numPr>
        <w:spacing w:after="80" w:line="300"/>
      </w:pPr>
      <w:r>
        <w:rPr>
          <w:rFonts w:ascii="Times New Roman" w:cs="Times New Roman" w:eastAsia="SimSun" w:hAnsi="Times New Roman"/>
          <w:sz w:val="24"/>
          <w:szCs w:val="24"/>
        </w:rPr>
        <w:t xml:space="preserve">O1. Extend the scholar's 12-rule error taxonomy into a full diagnostic schema spanning orthographic, phonological, phono-orthographic, motoric, and sequencing classes.</w:t>
      </w:r>
    </w:p>
    <w:p>
      <w:pPr>
        <w:pStyle w:val="ListParagraph"/>
        <w:numPr>
          <w:ilvl w:val="0"/>
          <w:numId w:val="2"/>
        </w:numPr>
        <w:spacing w:after="80" w:line="300"/>
      </w:pPr>
      <w:r>
        <w:rPr>
          <w:rFonts w:ascii="Times New Roman" w:cs="Times New Roman" w:eastAsia="SimSun" w:hAnsi="Times New Roman"/>
          <w:sz w:val="24"/>
          <w:szCs w:val="24"/>
        </w:rPr>
        <w:t xml:space="preserve">O2. Design and implement a longitudinal learner memory — a structured, per-child, per-error-class store of handwriting-derived evidence.</w:t>
      </w:r>
    </w:p>
    <w:p>
      <w:pPr>
        <w:pStyle w:val="ListParagraph"/>
        <w:numPr>
          <w:ilvl w:val="0"/>
          <w:numId w:val="2"/>
        </w:numPr>
        <w:spacing w:after="80" w:line="300"/>
      </w:pPr>
      <w:r>
        <w:rPr>
          <w:rFonts w:ascii="Times New Roman" w:cs="Times New Roman" w:eastAsia="SimSun" w:hAnsi="Times New Roman"/>
          <w:sz w:val="24"/>
          <w:szCs w:val="24"/>
        </w:rPr>
        <w:t xml:space="preserve">O3. Build the agentic layer: an Error-Analysis Agent, a self-verifying Insight Agent, an Intervention Planner and Content Agent, and an Orchestrator with a teacher gate.</w:t>
      </w:r>
    </w:p>
    <w:p>
      <w:pPr>
        <w:pStyle w:val="ListParagraph"/>
        <w:numPr>
          <w:ilvl w:val="0"/>
          <w:numId w:val="2"/>
        </w:numPr>
        <w:spacing w:after="80" w:line="300"/>
      </w:pPr>
      <w:r>
        <w:rPr>
          <w:rFonts w:ascii="Times New Roman" w:cs="Times New Roman" w:eastAsia="SimSun" w:hAnsi="Times New Roman"/>
          <w:sz w:val="24"/>
          <w:szCs w:val="24"/>
        </w:rPr>
        <w:t xml:space="preserve">O4. Validate at-risk identification against a standard instrument and validate progress verdicts against measured learning gains.</w:t>
      </w:r>
    </w:p>
    <w:p>
      <w:pPr>
        <w:pStyle w:val="ListParagraph"/>
        <w:numPr>
          <w:ilvl w:val="0"/>
          <w:numId w:val="2"/>
        </w:numPr>
        <w:spacing w:after="80" w:line="300"/>
      </w:pPr>
      <w:r>
        <w:rPr>
          <w:rFonts w:ascii="Times New Roman" w:cs="Times New Roman" w:eastAsia="SimSun" w:hAnsi="Times New Roman"/>
          <w:sz w:val="24"/>
          <w:szCs w:val="24"/>
        </w:rPr>
        <w:t xml:space="preserve">O5. Demonstrate cross-script transfer to at least one additional akshara-script language.</w:t>
      </w:r>
    </w:p>
    <w:p>
      <w:pPr>
        <w:pStyle w:val="Heading1"/>
        <w:spacing w:after="140" w:before="300"/>
      </w:pPr>
      <w:r>
        <w:rPr>
          <w:rFonts w:ascii="Times New Roman" w:cs="Times New Roman" w:eastAsia="SimSun" w:hAnsi="Times New Roman"/>
          <w:b/>
          <w:bCs/>
          <w:color w:val="1F3864"/>
          <w:sz w:val="30"/>
          <w:szCs w:val="30"/>
        </w:rPr>
        <w:t xml:space="preserve">6. Work Completed (Under Review)</w:t>
      </w:r>
    </w:p>
    <w:p>
      <w:pPr>
        <w:spacing w:after="140" w:line="300"/>
        <w:ind w:firstLine="504"/>
        <w:jc w:val="both"/>
      </w:pPr>
      <w:r>
        <w:rPr>
          <w:rFonts w:ascii="Times New Roman" w:cs="Times New Roman" w:eastAsia="SimSun" w:hAnsi="Times New Roman"/>
          <w:sz w:val="24"/>
          <w:szCs w:val="24"/>
        </w:rPr>
        <w:t xml:space="preserve">Two foundational works are completed and under peer review. Together they form the perception layer of the framework and provide the empirical basis for its central design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Pillar</w:t>
            </w:r>
          </w:p>
        </w:tc>
        <w:tc>
          <w:tcPr>
            <w:tcW w:type="dxa" w:w="37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Method</w:t>
            </w:r>
          </w:p>
        </w:tc>
        <w:tc>
          <w:tcPr>
            <w:tcW w:type="dxa" w:w="37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Key results</w:t>
            </w:r>
          </w:p>
        </w:tc>
      </w:tr>
      <w:tr>
        <w:tc>
          <w:tcPr>
            <w:tcW w:type="dxa" w:w="18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P1 — HERA (error-preserving recognition)</w:t>
            </w:r>
          </w:p>
        </w:tc>
        <w:tc>
          <w:tcPr>
            <w:tcW w:type="dxa" w:w="3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Retrieval-only handwritten Malayalam word recognition: hierarchical segmentation, hybrid SigLIP-2 + HOG descriptor (2,532-d), HNSW approximate nearest-neighbour retrieval with inverse-distance-weighted voting; no language model, beam search, or decoder</w:t>
            </w:r>
          </w:p>
        </w:tc>
        <w:tc>
          <w:tcPr>
            <w:tcW w:type="dxa" w:w="3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CER 0.20 on a 50-word unseen children's benchmark and 0.17 on the full 200-word set; outperforms Gemini 2.5 Pro (0.388), Sarvam AI (0.441), GPT-5.1 (0.786), Claude Opus 4 (0.800), and two PaddleOCR variants; hybrid descriptor adds 14.1 pp over SigLIP-2 alone; knowledge base of 336,527 images across 634 classes</w:t>
            </w:r>
          </w:p>
        </w:tc>
      </w:tr>
      <w:tr>
        <w:tc>
          <w:tcPr>
            <w:tcW w:type="dxa" w:w="18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P2 — OSUR-G2P (error-preserving phonology)</w:t>
            </w:r>
          </w:p>
        </w:tc>
        <w:tc>
          <w:tcPr>
            <w:tcW w:type="dxa" w:w="3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Error-preserving grapheme-to-phoneme framework: OSUR akshara tokenizer, per-step decoder-conditioned alignment, two instantiations (BiLSTM with positional-encoding attention; OSUR-Transformer from scratch); GUPER metric</w:t>
            </w:r>
          </w:p>
        </w:tc>
        <w:tc>
          <w:tcPr>
            <w:tcW w:type="dxa" w:w="3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PER 0.84% / GUPER 2.82% (BiLSTM) and PER 0.90% / GUPER 2.75% (Transformer) under a leakage-free word-disjoint protocol; error-annotated dataset of 13,576 word–IPA pairs (3,800 authentic learner items); 12-rule error taxonomy spanning orthographic, phonological, and phono-orthographic classes</w:t>
            </w:r>
          </w:p>
        </w:tc>
      </w:tr>
    </w:tbl>
    <w:p>
      <w:pPr>
        <w:spacing w:after="140" w:line="300"/>
        <w:ind w:firstLine="504"/>
        <w:jc w:val="both"/>
      </w:pPr>
      <w:r>
        <w:rPr>
          <w:rFonts w:ascii="Times New Roman" w:cs="Times New Roman" w:eastAsia="SimSun" w:hAnsi="Times New Roman"/>
          <w:sz w:val="24"/>
          <w:szCs w:val="24"/>
        </w:rPr>
        <w:t xml:space="preserve">Two further assets support the doctoral work: a linguist-labeled dataset of approximately 1,000 error instances classified through Haridas's Malayalam spelling-acquisition framework at the orthographic and phonological level (used as the Error-Analysis Agent's knowledge base and the gold standard for classification evaluation), and institutional ethics approval (AMRITNSOE/ADMN/DON03/2026/002) already in place for child-data collection.</w:t>
      </w:r>
    </w:p>
    <w:p>
      <w:pPr>
        <w:spacing w:after="140" w:line="300"/>
        <w:ind w:firstLine="504"/>
        <w:jc w:val="both"/>
      </w:pPr>
      <w:r>
        <w:rPr>
          <w:rFonts w:ascii="Times New Roman" w:cs="Times New Roman" w:eastAsia="SimSun" w:hAnsi="Times New Roman"/>
          <w:sz w:val="24"/>
          <w:szCs w:val="24"/>
        </w:rPr>
        <w:t xml:space="preserve">These works establish the central design finding of the research: error preservation must be architectural, not prompted. Because frontier LLMs destroy the diagnostic signal at perception and rule-based tools reject learner spellings at phonology, the diagnostic evidence chain cannot itself be an LLM — which is precisely why the doctoral agentic layer is designed to orchestrate deterministic tools rather than replace them.</w:t>
      </w:r>
    </w:p>
    <w:p>
      <w:pPr>
        <w:pStyle w:val="Heading1"/>
        <w:spacing w:after="140" w:before="300"/>
      </w:pPr>
      <w:r>
        <w:rPr>
          <w:rFonts w:ascii="Times New Roman" w:cs="Times New Roman" w:eastAsia="SimSun" w:hAnsi="Times New Roman"/>
          <w:b/>
          <w:bCs/>
          <w:color w:val="1F3864"/>
          <w:sz w:val="30"/>
          <w:szCs w:val="30"/>
        </w:rPr>
        <w:t xml:space="preserve">7. Proposed Methodology: The Agentic Diagnostic-Intervention Layer</w:t>
      </w:r>
    </w:p>
    <w:p>
      <w:pPr>
        <w:pStyle w:val="Heading2"/>
        <w:spacing w:after="120" w:before="220"/>
      </w:pPr>
      <w:r>
        <w:rPr>
          <w:rFonts w:ascii="Times New Roman" w:cs="Times New Roman" w:eastAsia="SimSun" w:hAnsi="Times New Roman"/>
          <w:b/>
          <w:bCs/>
          <w:color w:val="2E5A87"/>
          <w:sz w:val="26"/>
          <w:szCs w:val="26"/>
        </w:rPr>
        <w:t xml:space="preserve">7.1 Architecture overview</w:t>
      </w:r>
    </w:p>
    <w:p>
      <w:pPr>
        <w:spacing w:after="140" w:line="300"/>
        <w:ind w:firstLine="504"/>
        <w:jc w:val="both"/>
      </w:pPr>
      <w:r>
        <w:rPr>
          <w:rFonts w:ascii="Times New Roman" w:cs="Times New Roman" w:eastAsia="SimSun" w:hAnsi="Times New Roman"/>
          <w:sz w:val="24"/>
          <w:szCs w:val="24"/>
        </w:rPr>
        <w:t xml:space="preserve">The framework has three pillars. P1 (HERA) sees: it transcribes the child's handwriting verbatim, errors intact, each character traceable to a retrieved neighbourhood. P2 (OSUR-G2P) hears: it tokenizes the literal sequence into akshara units and transcribes it to IPA without correction, classifying each error against the taxonomy. P3 — the doctoral contribution — understands and acts: an agentic layer holds a longitudinal learner memory and, on every new sample, classifies errors, updates the child's difficulty profile and trajectory, generates insights and progress verdicts, and plans and generates RTI-aligned intervention, then re-assesses through P1 and P2 to close the loop.</w:t>
      </w:r>
    </w:p>
    <w:p>
      <w:pPr>
        <w:pStyle w:val="Heading2"/>
        <w:spacing w:after="120" w:before="220"/>
      </w:pPr>
      <w:r>
        <w:rPr>
          <w:rFonts w:ascii="Times New Roman" w:cs="Times New Roman" w:eastAsia="SimSun" w:hAnsi="Times New Roman"/>
          <w:b/>
          <w:bCs/>
          <w:color w:val="2E5A87"/>
          <w:sz w:val="26"/>
          <w:szCs w:val="26"/>
        </w:rPr>
        <w:t xml:space="preserve">7.2 The diagnostic error schema</w:t>
      </w:r>
    </w:p>
    <w:p>
      <w:pPr>
        <w:spacing w:after="140" w:line="300"/>
        <w:ind w:firstLine="504"/>
        <w:jc w:val="both"/>
      </w:pPr>
      <w:r>
        <w:rPr>
          <w:rFonts w:ascii="Times New Roman" w:cs="Times New Roman" w:eastAsia="SimSun" w:hAnsi="Times New Roman"/>
          <w:sz w:val="24"/>
          <w:szCs w:val="24"/>
        </w:rPr>
        <w:t xml:space="preserve">The scholar's existing 12-rule taxonomy (six orthographic, four phonological, two phono-orthographic rules, derived from 3,800 authentic learner spellings) is promoted from an augmentation device into a diagnostic classification schema and extended with motoric and sequencing classes observable from HERA's visual output (letter misformation, spacing, reversals, conjunct simplification, transpositions, abandoned words). The clinical anchor for the split: dysgraphia-type children produce near-correct spellings (intact phonology, weak orthographic memory) while dyslexia-type children produce phonologically-deviant spellings.</w:t>
      </w:r>
    </w:p>
    <w:p>
      <w:pPr>
        <w:pStyle w:val="Heading2"/>
        <w:spacing w:after="120" w:before="220"/>
      </w:pPr>
      <w:r>
        <w:rPr>
          <w:rFonts w:ascii="Times New Roman" w:cs="Times New Roman" w:eastAsia="SimSun" w:hAnsi="Times New Roman"/>
          <w:b/>
          <w:bCs/>
          <w:color w:val="2E5A87"/>
          <w:sz w:val="26"/>
          <w:szCs w:val="26"/>
        </w:rPr>
        <w:t xml:space="preserve">7.3 The agentic layer</w:t>
      </w:r>
    </w:p>
    <w:p>
      <w:pPr>
        <w:spacing w:after="140" w:line="300"/>
        <w:ind w:firstLine="504"/>
        <w:jc w:val="both"/>
      </w:pPr>
      <w:r>
        <w:rPr>
          <w:rFonts w:ascii="Times New Roman" w:cs="Times New Roman" w:eastAsia="SimSun" w:hAnsi="Times New Roman"/>
          <w:sz w:val="24"/>
          <w:szCs w:val="24"/>
        </w:rPr>
        <w:t xml:space="preserve">The layer is a tool-augmented, memory-holding, self-verifying multi-agent system. Agents reason and act; verified components see, measure, and remember. The constituent agents are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Agent</w:t>
            </w:r>
          </w:p>
        </w:tc>
        <w:tc>
          <w:tcPr>
            <w:tcW w:type="dxa" w:w="72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Responsibility</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Error-Analysis Agent</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Calls HERA and OSUR-G2P as tools, retrieves similar linguist-labeled cases from the error dataset, classifies each new error against the diagnostic schema by analogy to expert-labeled precedent, and writes evidence-traced findings into the learner memory</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Insight Agent (self-verifying)</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Queries the longitudinal memory and calls deterministic statistical tools (slope tests, change-point detection, Bayesian mastery estimation) to produce what-to-care-about insights and improving / stagnant / worsening verdicts; a critique–revise loop checks each claim against the raw data before it is issued</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Intervention Planner + Content Agent</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Translates the profile and verdicts into an RTI/MTSS-aligned plan (Tier 1 classroom to Tier 3 intensive), sequencing phonological-awareness, grapheme–phoneme correspondence, and multisensory activities; generates Malayalam practice material and the next probe, verified by OSUR/mlphon so drills target the intended phoneme contrast</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Orchestrator + Teacher gate</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Routes between agents and keeps the teacher or special educator in the approval loop, consistent with responsible human-in-the-loop patterns in tutoring systems</w:t>
            </w:r>
          </w:p>
        </w:tc>
      </w:tr>
    </w:tbl>
    <w:p>
      <w:pPr>
        <w:pStyle w:val="Heading2"/>
        <w:spacing w:after="120" w:before="220"/>
      </w:pPr>
      <w:r>
        <w:rPr>
          <w:rFonts w:ascii="Times New Roman" w:cs="Times New Roman" w:eastAsia="SimSun" w:hAnsi="Times New Roman"/>
          <w:b/>
          <w:bCs/>
          <w:color w:val="2E5A87"/>
          <w:sz w:val="26"/>
          <w:szCs w:val="26"/>
        </w:rPr>
        <w:t xml:space="preserve">7.4 Longitudinal monitoring and probe mode</w:t>
      </w:r>
    </w:p>
    <w:p>
      <w:pPr>
        <w:spacing w:after="140" w:line="300"/>
        <w:ind w:firstLine="504"/>
        <w:jc w:val="both"/>
      </w:pPr>
      <w:r>
        <w:rPr>
          <w:rFonts w:ascii="Times New Roman" w:cs="Times New Roman" w:eastAsia="SimSun" w:hAnsi="Times New Roman"/>
          <w:sz w:val="24"/>
          <w:szCs w:val="24"/>
        </w:rPr>
        <w:t xml:space="preserve">Every new writing sample produces a per-error-class snapshot (error rate with uncertainty, mastery estimate) appended to the child's memory. Because the diagnostic pipeline is alignment-based, measurement adopts probe mode: short, structured tasks (10–15 grade-leveled words by dictation or picture-naming) administered every 2–3 weeks, in which the target words are known by construction. Probe difficulty is held constant within a tracking period, and the Content Agent that generates practice material also generates the next probe, so the intended word is never missing inside the loop. Verdicts are issued only when statistically supported (e.g., five to six spaced points for a defensible trend).</w:t>
      </w:r>
    </w:p>
    <w:p>
      <w:pPr>
        <w:pStyle w:val="Heading2"/>
        <w:spacing w:after="120" w:before="220"/>
      </w:pPr>
      <w:r>
        <w:rPr>
          <w:rFonts w:ascii="Times New Roman" w:cs="Times New Roman" w:eastAsia="SimSun" w:hAnsi="Times New Roman"/>
          <w:b/>
          <w:bCs/>
          <w:color w:val="2E5A87"/>
          <w:sz w:val="26"/>
          <w:szCs w:val="26"/>
        </w:rPr>
        <w:t xml:space="preserve">7.5 Five novel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Code</w:t>
            </w:r>
          </w:p>
        </w:tc>
        <w:tc>
          <w:tcPr>
            <w:tcW w:type="dxa" w:w="80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Mechanism and claim</w:t>
            </w:r>
          </w:p>
        </w:tc>
      </w:tr>
      <w:tr>
        <w:tc>
          <w:tcPr>
            <w:tcW w:type="dxa" w:w="1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N1</w:t>
            </w:r>
          </w:p>
        </w:tc>
        <w:tc>
          <w:tcPr>
            <w:tcW w:type="dxa" w:w="8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Longitudinal learner memory as a first-class agent component — a structured, per-error-class memory of handwriting-derived evidence, the first for handwriting in any language</w:t>
            </w:r>
          </w:p>
        </w:tc>
      </w:tr>
      <w:tr>
        <w:tc>
          <w:tcPr>
            <w:tcW w:type="dxa" w:w="1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N2</w:t>
            </w:r>
          </w:p>
        </w:tc>
        <w:tc>
          <w:tcPr>
            <w:tcW w:type="dxa" w:w="8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Self-verifying insight generation — a critique–revise loop that grounds each insight in the raw data via tool calls, addressing LLM hallucination in a high-stakes child-assessment domain</w:t>
            </w:r>
          </w:p>
        </w:tc>
      </w:tr>
      <w:tr>
        <w:tc>
          <w:tcPr>
            <w:tcW w:type="dxa" w:w="1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N3</w:t>
            </w:r>
          </w:p>
        </w:tc>
        <w:tc>
          <w:tcPr>
            <w:tcW w:type="dxa" w:w="8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Evidence-traced insight language — every insight carries a machine-checkable trace, enabling a new evaluation problem: insight-faithfulness measurement</w:t>
            </w:r>
          </w:p>
        </w:tc>
      </w:tr>
      <w:tr>
        <w:tc>
          <w:tcPr>
            <w:tcW w:type="dxa" w:w="1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N4</w:t>
            </w:r>
          </w:p>
        </w:tc>
        <w:tc>
          <w:tcPr>
            <w:tcW w:type="dxa" w:w="8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Phonology-constrained Malayalam content generation — generated drills are verified by OSUR/mlphon so they target the intended phoneme contrast; constraint-verified generation in a low-resource language</w:t>
            </w:r>
          </w:p>
        </w:tc>
      </w:tr>
      <w:tr>
        <w:tc>
          <w:tcPr>
            <w:tcW w:type="dxa" w:w="1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N5</w:t>
            </w:r>
          </w:p>
        </w:tc>
        <w:tc>
          <w:tcPr>
            <w:tcW w:type="dxa" w:w="8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Tool-mediated numeracy — agents call deterministic analysis tools rather than computing trends in context; an ablation against free-reasoning agents converts the design choice into an experimental result</w:t>
            </w:r>
          </w:p>
        </w:tc>
      </w:tr>
    </w:tbl>
    <w:p>
      <w:pPr>
        <w:pStyle w:val="Heading2"/>
        <w:spacing w:after="120" w:before="220"/>
      </w:pPr>
      <w:r>
        <w:rPr>
          <w:rFonts w:ascii="Times New Roman" w:cs="Times New Roman" w:eastAsia="SimSun" w:hAnsi="Times New Roman"/>
          <w:b/>
          <w:bCs/>
          <w:color w:val="2E5A87"/>
          <w:sz w:val="26"/>
          <w:szCs w:val="26"/>
        </w:rPr>
        <w:t xml:space="preserve">7.6 Cross-lingual generalization</w:t>
      </w:r>
    </w:p>
    <w:p>
      <w:pPr>
        <w:spacing w:after="140" w:line="300"/>
        <w:ind w:firstLine="504"/>
        <w:jc w:val="both"/>
      </w:pPr>
      <w:r>
        <w:rPr>
          <w:rFonts w:ascii="Times New Roman" w:cs="Times New Roman" w:eastAsia="SimSun" w:hAnsi="Times New Roman"/>
          <w:sz w:val="24"/>
          <w:szCs w:val="24"/>
        </w:rPr>
        <w:t xml:space="preserve">The claim is akshara-script transfer, not universal coverage, structured as a protocol: swap the character inventory and rebuild the retrieval index (P1); swap the G2P and syllabification engine (P2 — OSUR and GUPER are unit-based, not Malayalam-specific); keep P3 unchanged except for language-specific error subtypes. One transfer demonstration (e.g., Tamil or Kannada) suffices for a PhD-level generalization claim.</w:t>
      </w:r>
    </w:p>
    <w:p>
      <w:pPr>
        <w:pStyle w:val="Heading1"/>
        <w:spacing w:after="140" w:before="300"/>
      </w:pPr>
      <w:r>
        <w:rPr>
          <w:rFonts w:ascii="Times New Roman" w:cs="Times New Roman" w:eastAsia="SimSun" w:hAnsi="Times New Roman"/>
          <w:b/>
          <w:bCs/>
          <w:color w:val="1F3864"/>
          <w:sz w:val="30"/>
          <w:szCs w:val="30"/>
        </w:rPr>
        <w:t xml:space="preserve">8. Novelty and Expected Contributions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200"/>
      </w:tblGrid>
      <w:tr>
        <w:tc>
          <w:tcPr>
            <w:tcW w:type="dxa" w:w="9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Code</w:t>
            </w:r>
          </w:p>
        </w:tc>
        <w:tc>
          <w:tcPr>
            <w:tcW w:type="dxa" w:w="61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Contribution</w:t>
            </w:r>
          </w:p>
        </w:tc>
        <w:tc>
          <w:tcPr>
            <w:tcW w:type="dxa" w:w="22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Status</w:t>
            </w:r>
          </w:p>
        </w:tc>
      </w:tr>
      <w:tr>
        <w:tc>
          <w:tcPr>
            <w:tcW w:type="dxa" w:w="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C1</w:t>
            </w:r>
          </w:p>
        </w:tc>
        <w:tc>
          <w:tcPr>
            <w:tcW w:type="dxa" w:w="6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HERA — error-preserving, retrieval-based HCR for children's Malayalam handwriting, with the 336,527-image / 634-class knowledge base</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Done, under review (RQ1)</w:t>
            </w:r>
          </w:p>
        </w:tc>
      </w:tr>
      <w:tr>
        <w:tc>
          <w:tcPr>
            <w:tcW w:type="dxa" w:w="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C2</w:t>
            </w:r>
          </w:p>
        </w:tc>
        <w:tc>
          <w:tcPr>
            <w:tcW w:type="dxa" w:w="6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OSUR error-preserving G2P framework with the GUPER metric, the 13,576-pair error-annotated dataset, and the 12-rule taxonomy</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Done, under review (RQ2)</w:t>
            </w:r>
          </w:p>
        </w:tc>
      </w:tr>
      <w:tr>
        <w:tc>
          <w:tcPr>
            <w:tcW w:type="dxa" w:w="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C3</w:t>
            </w:r>
          </w:p>
        </w:tc>
        <w:tc>
          <w:tcPr>
            <w:tcW w:type="dxa" w:w="6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A diagnostic error schema extending the 12-rule taxonomy, and a validated longitudinal profiling model on a benchmark corpus</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Proposed (RQ3, RQ3b)</w:t>
            </w:r>
          </w:p>
        </w:tc>
      </w:tr>
      <w:tr>
        <w:tc>
          <w:tcPr>
            <w:tcW w:type="dxa" w:w="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C4</w:t>
            </w:r>
          </w:p>
        </w:tc>
        <w:tc>
          <w:tcPr>
            <w:tcW w:type="dxa" w:w="6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The agentic diagnostic-and-intervention architecture — tool-augmented, longitudinal learner memory, self-verifying insights, phonology-constrained generation, teacher-in-the-loop, RTI-aligned — the first of its kind for any Indic language</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Proposed (RQ3–RQ4)</w:t>
            </w:r>
          </w:p>
        </w:tc>
      </w:tr>
      <w:tr>
        <w:tc>
          <w:tcPr>
            <w:tcW w:type="dxa" w:w="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C5</w:t>
            </w:r>
          </w:p>
        </w:tc>
        <w:tc>
          <w:tcPr>
            <w:tcW w:type="dxa" w:w="61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A cross-script generalization protocol demonstrating transfer to a second akshara language</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Proposed (RQ5)</w:t>
            </w:r>
          </w:p>
        </w:tc>
      </w:tr>
    </w:tbl>
    <w:p>
      <w:pPr>
        <w:spacing w:after="140" w:line="300"/>
        <w:ind w:firstLine="504"/>
        <w:jc w:val="both"/>
      </w:pPr>
      <w:r>
        <w:rPr>
          <w:rFonts w:ascii="Times New Roman" w:cs="Times New Roman" w:eastAsia="SimSun" w:hAnsi="Times New Roman"/>
          <w:sz w:val="24"/>
          <w:szCs w:val="24"/>
        </w:rPr>
        <w:t xml:space="preserve">Novelty claims for the agentic layer, stated precisely: (1) the first agentic diagnostic-intervention system driven by handwriting-derived linguistic evidence; (2) the first LLM-agent architecture grounded in an RTI/MTSS tiered-intervention model; (3) the first agentic system whose perception layer is provably error-preserving; (4) a closed causal loop in which intervention effect is measured by the same error-preserving pipeline that triggered it.</w:t>
      </w:r>
    </w:p>
    <w:p>
      <w:pPr>
        <w:pStyle w:val="Heading1"/>
        <w:spacing w:after="140" w:before="300"/>
      </w:pPr>
      <w:r>
        <w:rPr>
          <w:rFonts w:ascii="Times New Roman" w:cs="Times New Roman" w:eastAsia="SimSun" w:hAnsi="Times New Roman"/>
          <w:b/>
          <w:bCs/>
          <w:color w:val="1F3864"/>
          <w:sz w:val="30"/>
          <w:szCs w:val="30"/>
        </w:rPr>
        <w:t xml:space="preserve">9. Evaluation Plan and Datasets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900"/>
        <w:gridCol w:w="2300"/>
      </w:tblGrid>
      <w:tr>
        <w:tc>
          <w:tcPr>
            <w:tcW w:type="dxa" w:w="17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Component</w:t>
            </w:r>
          </w:p>
        </w:tc>
        <w:tc>
          <w:tcPr>
            <w:tcW w:type="dxa" w:w="25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Data</w:t>
            </w:r>
          </w:p>
        </w:tc>
        <w:tc>
          <w:tcPr>
            <w:tcW w:type="dxa" w:w="29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Metrics</w:t>
            </w:r>
          </w:p>
        </w:tc>
        <w:tc>
          <w:tcPr>
            <w:tcW w:type="dxa" w:w="23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Baselines</w:t>
            </w:r>
          </w:p>
        </w:tc>
      </w:tr>
      <w:tr>
        <w:tc>
          <w:tcPr>
            <w:tcW w:type="dxa" w:w="1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P1 HERA (done)</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200-word unseen children's set; 336,527-image KB</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CER 0.20 (50-word) / 0.17 (200-word); per-class accuracy; hybrid ablation (+14.1 pp)</w:t>
            </w:r>
          </w:p>
        </w:tc>
        <w:tc>
          <w:tcPr>
            <w:tcW w:type="dxa" w:w="23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Gemini 2.5 Pro, Sarvam AI, GPT-5.1, Claude Opus 4, PaddleOCR std/FT</w:t>
            </w:r>
          </w:p>
        </w:tc>
      </w:tr>
      <w:tr>
        <w:tc>
          <w:tcPr>
            <w:tcW w:type="dxa" w:w="1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P2 OSUR-G2P (done)</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13,576 word–IPA pairs; word-disjoint split</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PER 0.84% / GUPER 2.82%; bigram-holdout stress test (4.42%)</w:t>
            </w:r>
          </w:p>
        </w:tc>
        <w:tc>
          <w:tcPr>
            <w:tcW w:type="dxa" w:w="23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Static-attention baseline (2.96%); mlphon (rejects 43.5% of learner spellings)</w:t>
            </w:r>
          </w:p>
        </w:tc>
      </w:tr>
      <w:tr>
        <w:tc>
          <w:tcPr>
            <w:tcW w:type="dxa" w:w="1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P3a Insight / monitoring</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Longitudinal samples with teacher/clinician labels; ~1,000-instance linguist-labeled error set as gold standard</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Sensitivity / specificity / AUC vs NIMHANS-style assessment; error-type classification F1 vs linguist labels; trajectory-verdict accuracy; insight-faithfulness rate; tool-mediated vs free-reasoning verdict accuracy (N5 ablation)</w:t>
            </w:r>
          </w:p>
        </w:tc>
        <w:tc>
          <w:tcPr>
            <w:tcW w:type="dxa" w:w="23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Free-reasoning LLM agent (no tools); DDBIC-style human checklist; periodic re-screening</w:t>
            </w:r>
          </w:p>
        </w:tc>
      </w:tr>
      <w:tr>
        <w:tc>
          <w:tcPr>
            <w:tcW w:type="dxa" w:w="17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P3b Agentic intervention</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Pilot with consenting schools; repeated pre/during/post writing samples</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Learning gain (error-trajectory slope per class); time-to-improvement detection; teacher acceptance; non-responder identification</w:t>
            </w:r>
          </w:p>
        </w:tc>
        <w:tc>
          <w:tcPr>
            <w:tcW w:type="dxa" w:w="23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Static intervention plan; monitoring-without-agents ablation; waitlist comparison where ethical</w:t>
            </w:r>
          </w:p>
        </w:tc>
      </w:tr>
    </w:tbl>
    <w:p>
      <w:pPr>
        <w:pStyle w:val="Heading1"/>
        <w:spacing w:after="140" w:before="300"/>
      </w:pPr>
      <w:r>
        <w:rPr>
          <w:rFonts w:ascii="Times New Roman" w:cs="Times New Roman" w:eastAsia="SimSun" w:hAnsi="Times New Roman"/>
          <w:b/>
          <w:bCs/>
          <w:color w:val="1F3864"/>
          <w:sz w:val="30"/>
          <w:szCs w:val="30"/>
        </w:rPr>
        <w:t xml:space="preserve">10.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Period</w:t>
            </w:r>
          </w:p>
        </w:tc>
        <w:tc>
          <w:tcPr>
            <w:tcW w:type="dxa" w:w="72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Milestone</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Semester 1–2</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Diagnostic error schema (extend 12-rule taxonomy); longitudinal learner memory design; Error-Analysis Agent with retrieval over the linguist-labeled set; ethics renewal for longitudinal collection</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Semester 3</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Insight Agent with deterministic stats tools and self-verification loop; insight-faithfulness metric; N5 tool-mediated vs free-reasoning ablation study</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Semester 4</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Intervention Planner + Content Agent with phonology-constrained generation; probe design protocol; school partnership and pilot preparation</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Semester 5</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Longitudinal pilot in schools; at-risk validation against standard instrument; trajectory-verdict evaluation</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Semester 6</w:t>
            </w:r>
          </w:p>
        </w:tc>
        <w:tc>
          <w:tcPr>
            <w:tcW w:type="dxa" w:w="72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Cross-script transfer study (RQ5); intervention learning-gain analysis; thesis writing and submission</w:t>
            </w:r>
          </w:p>
        </w:tc>
      </w:tr>
    </w:tbl>
    <w:p>
      <w:pPr>
        <w:pStyle w:val="Heading1"/>
        <w:spacing w:after="140" w:before="300"/>
      </w:pPr>
      <w:r>
        <w:rPr>
          <w:rFonts w:ascii="Times New Roman" w:cs="Times New Roman" w:eastAsia="SimSun" w:hAnsi="Times New Roman"/>
          <w:b/>
          <w:bCs/>
          <w:color w:val="1F3864"/>
          <w:sz w:val="30"/>
          <w:szCs w:val="30"/>
        </w:rPr>
        <w:t xml:space="preserve">11. Risks, Ethics, and Mitigation</w:t>
      </w:r>
    </w:p>
    <w:p>
      <w:pPr>
        <w:pStyle w:val="ListParagraph"/>
        <w:numPr>
          <w:ilvl w:val="0"/>
          <w:numId w:val="2"/>
        </w:numPr>
        <w:spacing w:after="80" w:line="300"/>
      </w:pPr>
      <w:r>
        <w:rPr>
          <w:rFonts w:ascii="Times New Roman" w:cs="Times New Roman" w:eastAsia="SimSun" w:hAnsi="Times New Roman"/>
          <w:sz w:val="24"/>
          <w:szCs w:val="24"/>
        </w:rPr>
        <w:t xml:space="preserve">Data scarcity — the field-wide bottleneck is children's handwriting data. Mitigation: school partnerships established early, rule-based synthetic error augmentation (already demonstrated in the G2P work), and the existing public character knowledge base.</w:t>
      </w:r>
    </w:p>
    <w:p>
      <w:pPr>
        <w:pStyle w:val="ListParagraph"/>
        <w:numPr>
          <w:ilvl w:val="0"/>
          <w:numId w:val="2"/>
        </w:numPr>
        <w:spacing w:after="80" w:line="300"/>
      </w:pPr>
      <w:r>
        <w:rPr>
          <w:rFonts w:ascii="Times New Roman" w:cs="Times New Roman" w:eastAsia="SimSun" w:hAnsi="Times New Roman"/>
          <w:sz w:val="24"/>
          <w:szCs w:val="24"/>
        </w:rPr>
        <w:t xml:space="preserve">Label quality — at-risk labels require a defensible source. Mitigation: a two-stage design (teacher screening plus NIMHANS-index-style clinician confirmation on a subsample), mirroring the ELD study; error-type gold labels come from the linguist-labeled dataset.</w:t>
      </w:r>
    </w:p>
    <w:p>
      <w:pPr>
        <w:pStyle w:val="ListParagraph"/>
        <w:numPr>
          <w:ilvl w:val="0"/>
          <w:numId w:val="2"/>
        </w:numPr>
        <w:spacing w:after="80" w:line="300"/>
      </w:pPr>
      <w:r>
        <w:rPr>
          <w:rFonts w:ascii="Times New Roman" w:cs="Times New Roman" w:eastAsia="SimSun" w:hAnsi="Times New Roman"/>
          <w:sz w:val="24"/>
          <w:szCs w:val="24"/>
        </w:rPr>
        <w:t xml:space="preserve">Ethics and overclaiming — the system screens and supports, never diagnoses; the teacher remains in the loop; child-data consent follows the existing institutional approval (AMRITNSOE/ADMN/DON03/2026/002) with guardian consent and age-appropriate assent.</w:t>
      </w:r>
    </w:p>
    <w:p>
      <w:pPr>
        <w:pStyle w:val="ListParagraph"/>
        <w:numPr>
          <w:ilvl w:val="0"/>
          <w:numId w:val="2"/>
        </w:numPr>
        <w:spacing w:after="80" w:line="300"/>
      </w:pPr>
      <w:r>
        <w:rPr>
          <w:rFonts w:ascii="Times New Roman" w:cs="Times New Roman" w:eastAsia="SimSun" w:hAnsi="Times New Roman"/>
          <w:sz w:val="24"/>
          <w:szCs w:val="24"/>
        </w:rPr>
        <w:t xml:space="preserve">LLM reliability — agents do not perceive or compute trends; they orchestrate deterministic tools, verify claims against raw data, and defer to the teacher gate, preserving traceability.</w:t>
      </w:r>
    </w:p>
    <w:p>
      <w:pPr>
        <w:pStyle w:val="Heading1"/>
        <w:spacing w:after="140" w:before="300"/>
      </w:pPr>
      <w:r>
        <w:rPr>
          <w:rFonts w:ascii="Times New Roman" w:cs="Times New Roman" w:eastAsia="SimSun" w:hAnsi="Times New Roman"/>
          <w:b/>
          <w:bCs/>
          <w:color w:val="1F3864"/>
          <w:sz w:val="30"/>
          <w:szCs w:val="30"/>
        </w:rPr>
        <w:t xml:space="preserve">12. Expected Outcomes and Publications</w:t>
      </w:r>
    </w:p>
    <w:p>
      <w:pPr>
        <w:spacing w:after="140" w:line="300"/>
        <w:ind w:firstLine="504"/>
        <w:jc w:val="both"/>
      </w:pPr>
      <w:r>
        <w:rPr>
          <w:rFonts w:ascii="Times New Roman" w:cs="Times New Roman" w:eastAsia="SimSun" w:hAnsi="Times New Roman"/>
          <w:sz w:val="24"/>
          <w:szCs w:val="24"/>
        </w:rPr>
        <w:t xml:space="preserve">Expected outcomes: a validated early-identification and progress-monitoring system for Malayalam children's writing difficulties; a longitudinal benchmark corpus of annotated children's handwriting; a diagnostic error schema for Malayalam; an open agentic architecture for evidence-driven intervention; and a demonstrated transfer protocol for other Indic scripts. The intended venue map is given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Component</w:t>
            </w:r>
          </w:p>
        </w:tc>
        <w:tc>
          <w:tcPr>
            <w:tcW w:type="dxa" w:w="6000"/>
            <w:shd w:fill="EDF2F8" w:val="clear"/>
            <w:tcMar>
              <w:top w:type="dxa" w:w="90"/>
              <w:left w:type="dxa" w:w="110"/>
              <w:bottom w:type="dxa" w:w="90"/>
              <w:right w:type="dxa" w:w="110"/>
            </w:tcMar>
          </w:tcPr>
          <w:p>
            <w:pPr>
              <w:spacing w:after="40" w:line="260"/>
            </w:pPr>
            <w:r>
              <w:rPr>
                <w:rFonts w:ascii="Times New Roman" w:cs="Times New Roman" w:eastAsia="SimSun" w:hAnsi="Times New Roman"/>
                <w:b/>
                <w:bCs/>
                <w:color w:val="1F3864"/>
                <w:sz w:val="20"/>
                <w:szCs w:val="20"/>
              </w:rPr>
              <w:t xml:space="preserve">Target venue</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P1 HERA (under review)</w:t>
            </w:r>
          </w:p>
        </w:tc>
        <w:tc>
          <w:tcPr>
            <w:tcW w:type="dxa" w:w="6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Document-analysis venue (IJDAR / ICDAR / DAS)</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P2 OSUR-G2P (under review)</w:t>
            </w:r>
          </w:p>
        </w:tc>
        <w:tc>
          <w:tcPr>
            <w:tcW w:type="dxa" w:w="6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NLP venue (SN Computer Science / COLING / LREC)</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P3a Diagnostic schema and longitudinal profiling</w:t>
            </w:r>
          </w:p>
        </w:tc>
        <w:tc>
          <w:tcPr>
            <w:tcW w:type="dxa" w:w="6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ACM IDC / IJDAR / assistive-technology venue</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P3b Agentic diagnostic-intervention layer</w:t>
            </w:r>
          </w:p>
        </w:tc>
        <w:tc>
          <w:tcPr>
            <w:tcW w:type="dxa" w:w="6000"/>
            <w:tcMar>
              <w:top w:type="dxa" w:w="90"/>
              <w:left w:type="dxa" w:w="110"/>
              <w:bottom w:type="dxa" w:w="90"/>
              <w:right w:type="dxa" w:w="110"/>
            </w:tcMar>
          </w:tcPr>
          <w:p>
            <w:pPr>
              <w:spacing w:after="40" w:line="260"/>
            </w:pPr>
            <w:r>
              <w:rPr>
                <w:rFonts w:ascii="Times New Roman" w:cs="Times New Roman" w:eastAsia="SimSun" w:hAnsi="Times New Roman"/>
                <w:sz w:val="20"/>
                <w:szCs w:val="20"/>
              </w:rPr>
              <w:t xml:space="preserve">AIED / EDM / ITS venue</w:t>
            </w:r>
          </w:p>
        </w:tc>
      </w:tr>
    </w:tbl>
    <w:p>
      <w:pPr>
        <w:spacing w:after="140" w:line="300"/>
        <w:ind w:firstLine="504"/>
        <w:jc w:val="both"/>
      </w:pPr>
      <w:r>
        <w:rPr>
          <w:rFonts w:ascii="Times New Roman" w:cs="Times New Roman" w:eastAsia="SimSun" w:hAnsi="Times New Roman"/>
          <w:sz w:val="24"/>
          <w:szCs w:val="24"/>
        </w:rPr>
        <w:t xml:space="preserve">The research is designed so that the perception works (under review), the diagnostic schema, and the agentic layer each yield a publishable contribution, with the agentic layer as the primary doctoral novelty.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300"/>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line="300"/>
      <w:jc w:val="center"/>
    </w:pPr>
    <w:r>
      <w:rPr>
        <w:rFonts w:ascii="Times New Roman" w:cs="Times New Roman" w:eastAsia="SimSun" w:hAnsi="Times New Roman"/>
        <w:color w:val="2E5A87"/>
        <w:sz w:val="18"/>
        <w:szCs w:val="18"/>
      </w:rPr>
      <w:t xml:space="preserve">Doctoral Research Synopsis — Agentic AI for Identifying Language Difficulties from Malayalam Handwritten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2026-09-26T17:43:00.030Z</dcterms:created>
  <dcterms:modified xsi:type="dcterms:W3CDTF">2026-09-26T17:43:00.031Z</dcterms:modified>
</cp:coreProperties>
</file>

<file path=docProps/custom.xml><?xml version="1.0" encoding="utf-8"?>
<Properties xmlns="http://schemas.openxmlformats.org/officeDocument/2006/custom-properties" xmlns:vt="http://schemas.openxmlformats.org/officeDocument/2006/docPropsVTypes"/>
</file>