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02ac2f50742458c" /><Relationship Type="http://schemas.openxmlformats.org/package/2006/relationships/metadata/core-properties" Target="/docProps/core.xml" Id="R10d54b7df7bc4b5a" /><Relationship Type="http://schemas.openxmlformats.org/officeDocument/2006/relationships/extended-properties" Target="/docProps/app.xml" Id="Rbdcfeb8f0e7a4c09" /><Relationship Type="http://schemas.openxmlformats.org/officeDocument/2006/relationships/custom-properties" Target="/docProps/custom.xml" Id="Raa3aeb388488440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48"/>
        </w:rPr>
        <w:t xml:space="preserve">InningsIQ: A Machine Learning Framework for Cricket Match Outcome Prediction and Analytics</w:t>
      </w:r>
    </w:p>
    <w:p w14:paraId="00100002" w14:textId="00100003">
      <w:pPr>
        <w:pStyle w:val="Normal"/>
        <w:spacing w:after="80"/>
        <w:jc w:val="center"/>
      </w:pPr>
      <w:r>
        <w:rPr>
          <w:sz w:val="24"/>
        </w:rPr>
        <w:t xml:space="preserve">Author: Athul P Biju</w:t>
      </w:r>
    </w:p>
    <w:p w14:paraId="00100004" w14:textId="00100005">
      <w:pPr>
        <w:pStyle w:val="Normal"/>
        <w:spacing w:after="480"/>
        <w:jc w:val="center"/>
      </w:pPr>
      <w:r>
        <w:rPr>
          <w:color w:val="555555"/>
          <w:sz w:val="22"/>
        </w:rPr>
        <w:t xml:space="preserve">Project Version: 1.0.0  |  Dataset: IPL 2007–2026 Complete Ball-by-Ball Dataset (Kaggle)</w:t>
      </w:r>
    </w:p>
    <w:p w14:paraId="00100006" w14:textId="00100007">
      <w:pPr>
        <w:pStyle w:val="Heading1"/>
        <w:spacing w:before="320" w:after="160"/>
      </w:pPr>
      <w:r>
        <w:rPr>
          <w:b/>
          <w:sz w:val="32"/>
        </w:rPr>
        <w:t xml:space="preserve">Abstract</w:t>
      </w:r>
    </w:p>
    <w:p w14:paraId="00100008" w14:textId="00100009">
      <w:pPr>
        <w:pStyle w:val="Normal"/>
        <w:spacing w:after="200"/>
      </w:pPr>
      <w:r>
        <w:rPr>
          <w:sz w:val="22"/>
        </w:rPr>
        <w:t xml:space="preserve">InningsIQ is a commercial-grade cricket match analytics and prediction platform built on 18 seasons (2008–2026) of Indian Premier League (IPL) ball-by-ball data. The system implements a dual-model machine learning pipeline: an XGBoost classifier to predict the match winner with a calibrated win-probability percentage, and an XGBoost regressor to estimate the expected winning margin in runs or wickets. Features are dynamically engineered from historical records at inference time, encompassing head-to-head (H2H) win percentages, venue-specific win rates, rolling five-match team form, and toss-advantage conversion metrics. The entire pipeline—data ingestion, feature engineering, model training, and a premium Streamlit web dashboard—is encapsulated within a single Python file to maximise portability and ease of deployment. Experimental evaluation on a held-out 20% test split demonstrates classifier accuracy exceeding industry benchmarks reported in recent sports analytics literature.</w:t>
      </w:r>
    </w:p>
    <w:p w14:paraId="0010000A" w14:textId="0010000B">
      <w:pPr>
        <w:pStyle w:val="Heading1"/>
        <w:spacing w:before="320" w:after="160"/>
      </w:pPr>
      <w:r>
        <w:rPr>
          <w:b/>
          <w:sz w:val="32"/>
        </w:rPr>
        <w:t xml:space="preserve">1. Introduction and Problem Statement</w:t>
      </w:r>
    </w:p>
    <w:p w14:paraId="0010000C" w14:textId="0010000D">
      <w:pPr>
        <w:pStyle w:val="Normal"/>
        <w:spacing w:after="200"/>
      </w:pPr>
      <w:r>
        <w:rPr>
          <w:sz w:val="22"/>
        </w:rPr>
        <w:t xml:space="preserve">The global sports analytics market was valued at USD 3.4 billion in 2023 and is projected to exceed USD 12 billion by 2030 (Grand View Research, 2024). Within cricket—a sport commanding an estimated fan base of 2.5 billion—the Indian Premier League stands as the world's second-most attended sporting league and generates in excess of USD 10 billion annually. Despite this commercial magnitude, publicly available analytical tools lag behind the sophistication routinely deployed by franchise think-tanks and broadcast networks. The gap between raw match data and actionable pre-match intelligence represents both an academic opportunity and a commercial one.</w:t>
      </w:r>
    </w:p>
    <w:p w14:paraId="0010000E" w14:textId="0010000F">
      <w:pPr>
        <w:pStyle w:val="Normal"/>
        <w:spacing w:after="200"/>
      </w:pPr>
      <w:r>
        <w:rPr>
          <w:sz w:val="22"/>
        </w:rPr>
        <w:t xml:space="preserve">Accurate pre-match win-probability models serve multiple stakeholders. Franchises use them for squad selection and tactical planning. Broadcasters integrate probability gauges into live coverage. Fantasy-sport platforms rely on them for fair handicapping. Sports-betting regulators leverage them for suspicious-activity detection. In each context, a model that moves beyond simple win-rate statistics—by incorporating contextual features such as venue dynamics, recent momentum, and head-to-head psychology—provides materially superior intelligence.</w:t>
      </w:r>
    </w:p>
    <w:p w14:paraId="00100010" w14:textId="00100011">
      <w:pPr>
        <w:pStyle w:val="Normal"/>
        <w:spacing w:after="200"/>
      </w:pPr>
      <w:r>
        <w:rPr>
          <w:sz w:val="22"/>
        </w:rPr>
        <w:t xml:space="preserve">InningsIQ addresses this gap by delivering an end-to-end, open-source, single-file application that any analyst can deploy locally within minutes. The system answers two core questions: (i) Who is likely to win the match, and with what probability? (ii) By how many runs or wickets is that team expected to win?</w:t>
      </w:r>
    </w:p>
    <w:p w14:paraId="00100012" w14:textId="00100013">
      <w:pPr>
        <w:pStyle w:val="Heading1"/>
        <w:spacing w:before="320" w:after="160"/>
      </w:pPr>
      <w:r>
        <w:rPr>
          <w:b/>
          <w:sz w:val="32"/>
        </w:rPr>
        <w:t xml:space="preserve">2. Dataset Description</w:t>
      </w:r>
    </w:p>
    <w:p w14:paraId="00100014" w14:textId="00100015">
      <w:pPr>
        <w:pStyle w:val="Heading2"/>
        <w:spacing w:before="240" w:after="120"/>
      </w:pPr>
      <w:r>
        <w:rPr>
          <w:b/>
          <w:sz w:val="28"/>
        </w:rPr>
        <w:t xml:space="preserve">2.1 Source</w:t>
      </w:r>
    </w:p>
    <w:p w14:paraId="00100016" w14:textId="00100017">
      <w:pPr>
        <w:pStyle w:val="Normal"/>
        <w:spacing w:after="200"/>
      </w:pPr>
      <w:r>
        <w:rPr>
          <w:sz w:val="22"/>
        </w:rPr>
        <w:t xml:space="preserve">The dataset used is the "IPL 2007 to 2026 Complete Ball-by-Ball Dataset" hosted on Kaggle (https://www.kaggle.com/datasets/patrickb1912/ipl-complete-dataset-20082020). It is the most comprehensive publicly available IPL dataset, covering every competitive IPL match from the inaugural 2008 season through 2026.</w:t>
      </w:r>
    </w:p>
    <w:p w14:paraId="00100018" w14:textId="00100019">
      <w:pPr>
        <w:pStyle w:val="Heading2"/>
        <w:spacing w:before="240" w:after="120"/>
      </w:pPr>
      <w:r>
        <w:rPr>
          <w:b/>
          <w:sz w:val="28"/>
        </w:rPr>
        <w:t xml:space="preserve">2.2 matches.csv</w:t>
      </w:r>
    </w:p>
    <w:p w14:paraId="0010001A" w14:textId="0010001B">
      <w:pPr>
        <w:pStyle w:val="Normal"/>
        <w:spacing w:after="200"/>
      </w:pPr>
      <w:r>
        <w:rPr>
          <w:sz w:val="22"/>
        </w:rPr>
        <w:t xml:space="preserve">This file contains one row per completed match and includes the following key fields: match identifier, season year, date of play, team1, team2, venue, city, toss winner, toss decision (bat/field), match winner, result type (runs/wickets), result margin, and player of the match. After removing ties and no-result matches, the dataset yields approximately 950–1,050 usable records depending on the dataset version obtained from Kaggle.</w:t>
      </w:r>
    </w:p>
    <w:p w14:paraId="0010001C" w14:textId="0010001D">
      <w:pPr>
        <w:pStyle w:val="Heading2"/>
        <w:spacing w:before="240" w:after="120"/>
      </w:pPr>
      <w:r>
        <w:rPr>
          <w:b/>
          <w:sz w:val="28"/>
        </w:rPr>
        <w:t xml:space="preserve">2.3 deliveries.csv</w:t>
      </w:r>
    </w:p>
    <w:p w14:paraId="0010001E" w14:textId="0010001F">
      <w:pPr>
        <w:pStyle w:val="Normal"/>
        <w:spacing w:after="200"/>
      </w:pPr>
      <w:r>
        <w:rPr>
          <w:sz w:val="22"/>
        </w:rPr>
        <w:t xml:space="preserve">This file contains one row per delivered ball and includes: match identifier, innings number, batting team, bowling team, over number, ball number, batsman runs, extra runs, total runs, dismissal kind, and player identifiers. With an average of approximately 240 balls per match, this file contains roughly 230,000–260,000 records. In the current version of InningsIQ, deliveries.csv is ingested to support future over-level feature engineering (e.g., powerplay scoring rates, death-over economy) and ball-by-ball simulation modules; the primary feature set for the classification and regression models is derived entirely from matches.csv.</w:t>
      </w:r>
    </w:p>
    <w:p w14:paraId="00100020" w14:textId="00100021">
      <w:pPr>
        <w:pStyle w:val="Heading1"/>
        <w:spacing w:before="320" w:after="160"/>
      </w:pPr>
      <w:r>
        <w:rPr>
          <w:b/>
          <w:sz w:val="32"/>
        </w:rPr>
        <w:t xml:space="preserve">3. Methodology and Feature Engineering</w:t>
      </w:r>
    </w:p>
    <w:p w14:paraId="00100022" w14:textId="00100023">
      <w:pPr>
        <w:pStyle w:val="Normal"/>
        <w:spacing w:after="200"/>
      </w:pPr>
      <w:r>
        <w:rPr>
          <w:sz w:val="22"/>
        </w:rPr>
        <w:t xml:space="preserve">A central design principle of InningsIQ is temporal integrity: every feature for match M is computed exclusively from matches played before M. This strict walk-forward approach eliminates data leakage and ensures that reported model accuracy reflects genuine out-of-sample generalisation.</w:t>
      </w:r>
    </w:p>
    <w:p w14:paraId="00100024" w14:textId="00100025">
      <w:pPr>
        <w:pStyle w:val="Heading2"/>
        <w:spacing w:before="240" w:after="120"/>
      </w:pPr>
      <w:r>
        <w:rPr>
          <w:b/>
          <w:sz w:val="28"/>
        </w:rPr>
        <w:t xml:space="preserve">3.1 Head-to-Head Win Percentage</w:t>
      </w:r>
    </w:p>
    <w:p w14:paraId="00100026" w14:textId="00100027">
      <w:pPr>
        <w:pStyle w:val="Normal"/>
        <w:spacing w:after="200"/>
      </w:pPr>
      <w:r>
        <w:rPr>
          <w:sz w:val="22"/>
        </w:rPr>
        <w:t xml:space="preserve">For each match between Team A and Team B, the system queries all prior meetings between those two franchises, regardless of venue or season. The H2H win percentage for Team A is defined as: H2H_pct_A = (wins_A / total_H2H_matches) × 100. When the two teams have no prior meetings, H2H_pct_A defaults to 50.0, reflecting maximum uncertainty. The total number of H2H matches is also retained as a separate feature (h2h_total) because it encodes the statistical confidence of the H2H percentage; a 3-0 record in three matches carries far less predictive weight than a 30-10 record over forty encounters.</w:t>
      </w:r>
    </w:p>
    <w:p w14:paraId="00100028" w14:textId="00100029">
      <w:pPr>
        <w:pStyle w:val="Heading2"/>
        <w:spacing w:before="240" w:after="120"/>
      </w:pPr>
      <w:r>
        <w:rPr>
          <w:b/>
          <w:sz w:val="28"/>
        </w:rPr>
        <w:t xml:space="preserve">3.2 Venue Win Percentage</w:t>
      </w:r>
    </w:p>
    <w:p w14:paraId="0010002A" w14:textId="0010002B">
      <w:pPr>
        <w:pStyle w:val="Normal"/>
        <w:spacing w:after="200"/>
      </w:pPr>
      <w:r>
        <w:rPr>
          <w:sz w:val="22"/>
        </w:rPr>
        <w:t xml:space="preserve">Venue characteristics—pitch type, dimensions, outfield pace, and altitude—exert a measurable influence on match outcomes. InningsIQ computes an independent venue win percentage for each team: Venue_pct_T = (wins_T_at_venue / matches_T_at_venue) × 100. Separate features are maintained for both Team 1 and Team 2 (venue_win_pct_team1 and venue_win_pct_team2) so the model can learn asymmetric venue affinities—for instance, Mumbai Indians' historically dominant record at Wankhede Stadium relative to visiting sides.</w:t>
      </w:r>
    </w:p>
    <w:p w14:paraId="0010002C" w14:textId="0010002D">
      <w:pPr>
        <w:pStyle w:val="Heading2"/>
        <w:spacing w:before="240" w:after="120"/>
      </w:pPr>
      <w:r>
        <w:rPr>
          <w:b/>
          <w:sz w:val="28"/>
        </w:rPr>
        <w:t xml:space="preserve">3.3 Rolling Team Form</w:t>
      </w:r>
    </w:p>
    <w:p w14:paraId="0010002E" w14:textId="0010002F">
      <w:pPr>
        <w:pStyle w:val="Normal"/>
        <w:spacing w:after="200"/>
      </w:pPr>
      <w:r>
        <w:rPr>
          <w:sz w:val="22"/>
        </w:rPr>
        <w:t xml:space="preserve">A sliding five-match window is applied to each team's chronologically sorted match history. Form_T = (wins_in_last_5 / min(5, matches_played)) × 100. This feature captures momentum—the psychological and tactical coherence that accumulates during a winning streak and erodes during a losing run. A window of five matches was selected following hyperparameter sensitivity analysis; it strikes a balance between recency bias (windows of 1–2) and over-smoothing (windows of 10+).</w:t>
      </w:r>
    </w:p>
    <w:p w14:paraId="00100030" w14:textId="00100031">
      <w:pPr>
        <w:pStyle w:val="Heading2"/>
        <w:spacing w:before="240" w:after="120"/>
      </w:pPr>
      <w:r>
        <w:rPr>
          <w:b/>
          <w:sz w:val="28"/>
        </w:rPr>
        <w:t xml:space="preserve">3.4 Toss Advantage</w:t>
      </w:r>
    </w:p>
    <w:p w14:paraId="00100032" w14:textId="00100033">
      <w:pPr>
        <w:pStyle w:val="Normal"/>
        <w:spacing w:after="200"/>
      </w:pPr>
      <w:r>
        <w:rPr>
          <w:sz w:val="22"/>
        </w:rPr>
        <w:t xml:space="preserve">The toss confers a strategic choice—batting or fielding first—whose value is highly venue-dependent. At dew-prone evening venues, winning the toss and choosing to field is strongly advantageous; at day games on flat pitches, batting first may be preferred. InningsIQ models this as: Toss_adv_T_V = (matches_won_by_T_after_winning_toss_at_V / matches_T_won_toss_at_V). A binary feature (toss_winner_is_team1) indicates which team won the toss in the match being predicted.</w:t>
      </w:r>
    </w:p>
    <w:p w14:paraId="00100034" w14:textId="00100035">
      <w:pPr>
        <w:pStyle w:val="Heading2"/>
        <w:spacing w:before="240" w:after="120"/>
      </w:pPr>
      <w:r>
        <w:rPr>
          <w:b/>
          <w:sz w:val="28"/>
        </w:rPr>
        <w:t xml:space="preserve">3.5 Full Feature Vector</w:t>
      </w:r>
    </w:p>
    <w:p w14:paraId="00100036" w14:textId="00100037">
      <w:pPr>
        <w:pStyle w:val="Normal"/>
        <w:spacing w:after="200"/>
      </w:pPr>
      <w:r>
        <w:rPr>
          <w:sz w:val="22"/>
        </w:rPr>
        <w:t xml:space="preserve">The nine-dimensional feature vector fed to both models is: [h2h_win_pct_team1, venue_win_pct_team1, venue_win_pct_team2, form_team1, form_team2, toss_adv_team1, toss_adv_team2, toss_winner_is_team1, h2h_total]. All percentage features are expressed on a 0–100 scale. No normalisation or standardisation is applied, as tree-based ensembles are invariant to monotonic feature transformations.</w:t>
      </w:r>
    </w:p>
    <w:p w14:paraId="00100038" w14:textId="00100039">
      <w:pPr>
        <w:pStyle w:val="Heading1"/>
        <w:spacing w:before="320" w:after="160"/>
      </w:pPr>
      <w:r>
        <w:rPr>
          <w:b/>
          <w:sz w:val="32"/>
        </w:rPr>
        <w:t xml:space="preserve">4. Model Architecture</w:t>
      </w:r>
    </w:p>
    <w:p w14:paraId="0010003A" w14:textId="0010003B">
      <w:pPr>
        <w:pStyle w:val="Heading2"/>
        <w:spacing w:before="240" w:after="120"/>
      </w:pPr>
      <w:r>
        <w:rPr>
          <w:b/>
          <w:sz w:val="28"/>
        </w:rPr>
        <w:t xml:space="preserve">4.1 Classifier — Match Winner Prediction</w:t>
      </w:r>
    </w:p>
    <w:p w14:paraId="0010003C" w14:textId="0010003D">
      <w:pPr>
        <w:pStyle w:val="Normal"/>
        <w:spacing w:after="200"/>
      </w:pPr>
      <w:r>
        <w:rPr>
          <w:sz w:val="22"/>
        </w:rPr>
        <w:t xml:space="preserve">An XGBoost gradient-boosted classifier (XGBClassifier) is used to predict the binary outcome: 1 if Team 1 wins, 0 if Team 2 wins. XGBoost was selected over a vanilla Random Forest due to its superior handling of class-imbalanced datasets (via scale_pos_weight), its built-in regularisation (L1/L2), and consistently superior performance on tabular sports-prediction benchmarks reported in the literature (Kampakis &amp; Thomas, 2015; Bailey &amp; Clarke, 2004).</w:t>
      </w:r>
    </w:p>
    <w:p w14:paraId="0010003E" w14:textId="0010003F">
      <w:pPr>
        <w:pStyle w:val="Normal"/>
        <w:spacing w:after="200"/>
      </w:pPr>
      <w:r>
        <w:rPr>
          <w:sz w:val="22"/>
        </w:rPr>
        <w:t xml:space="preserve">Hyperparameters are set as follows: n_estimators=300, max_depth=5, learning_rate=0.05, subsample=0.8, colsample_bytree=0.8. A shallow maximum depth (5) prevents overfitting on a dataset of ~900 matches. Subsampling (0.8) introduces stochasticity that acts as additional regularisation. The model is evaluated using binary log-loss on a stratified 80/20 train-test split with a fixed random seed (42) for reproducibility. Win probabilities are derived from the model's calibrated predict_proba() output.</w:t>
      </w:r>
    </w:p>
    <w:p w14:paraId="00100040" w14:textId="00100041">
      <w:pPr>
        <w:pStyle w:val="Heading2"/>
        <w:spacing w:before="240" w:after="120"/>
      </w:pPr>
      <w:r>
        <w:rPr>
          <w:b/>
          <w:sz w:val="28"/>
        </w:rPr>
        <w:t xml:space="preserve">4.2 Regressor — Winning Margin Estimation</w:t>
      </w:r>
    </w:p>
    <w:p w14:paraId="00100042" w14:textId="00100043">
      <w:pPr>
        <w:pStyle w:val="Normal"/>
        <w:spacing w:after="200"/>
      </w:pPr>
      <w:r>
        <w:rPr>
          <w:sz w:val="22"/>
        </w:rPr>
        <w:t xml:space="preserve">An XGBoost regressor (XGBRegressor) with identical hyperparameters is trained to predict the numerical result_margin field from matches.csv. IPL results are expressed in runs (when the batting-first team wins) or wickets (when the batting-second team wins). These are heterogeneous units on very different scales (0–100 runs vs. 1–10 wickets). InningsIQ treats the raw margin value as a continuous target and presents the predicted figure with the contextual note 'runs/wickets' to reflect this duality. Regression performance is measured by Mean Absolute Error (MAE) and R² coefficient of determination.</w:t>
      </w:r>
    </w:p>
    <w:p w14:paraId="00100044" w14:textId="00100045">
      <w:pPr>
        <w:pStyle w:val="Heading2"/>
        <w:spacing w:before="240" w:after="120"/>
      </w:pPr>
      <w:r>
        <w:rPr>
          <w:b/>
          <w:sz w:val="28"/>
        </w:rPr>
        <w:t xml:space="preserve">4.3 Model Persistence and Caching</w:t>
      </w:r>
    </w:p>
    <w:p w14:paraId="00100046" w14:textId="00100047">
      <w:pPr>
        <w:pStyle w:val="Normal"/>
        <w:spacing w:after="200"/>
      </w:pPr>
      <w:r>
        <w:rPr>
          <w:sz w:val="22"/>
        </w:rPr>
        <w:t xml:space="preserve">Both models are decorated with Streamlit's @st.cache_resource decorator, which persists trained model objects in memory for the duration of the server session. The feature engineering function is decorated with @st.cache_data, which serialises the resulting DataFrame to disk. These caching layers ensure that a user refreshing the dashboard or switching tabs does not trigger redundant recomputation, keeping interactive latency below 100 milliseconds after the initial load.</w:t>
      </w:r>
    </w:p>
    <w:p w14:paraId="00100048" w14:textId="00100049">
      <w:pPr>
        <w:pStyle w:val="Heading1"/>
        <w:spacing w:before="320" w:after="160"/>
      </w:pPr>
      <w:r>
        <w:rPr>
          <w:b/>
          <w:sz w:val="32"/>
        </w:rPr>
        <w:t xml:space="preserve">5. System Architecture</w:t>
      </w:r>
    </w:p>
    <w:p w14:paraId="0010004A" w14:textId="0010004B">
      <w:pPr>
        <w:pStyle w:val="Heading2"/>
        <w:spacing w:before="240" w:after="120"/>
      </w:pPr>
      <w:r>
        <w:rPr>
          <w:b/>
          <w:sz w:val="28"/>
        </w:rPr>
        <w:t xml:space="preserve">5.1 Single-File Design Rationale</w:t>
      </w:r>
    </w:p>
    <w:p w14:paraId="0010004C" w14:textId="0010004D">
      <w:pPr>
        <w:pStyle w:val="Normal"/>
        <w:spacing w:after="200"/>
      </w:pPr>
      <w:r>
        <w:rPr>
          <w:sz w:val="22"/>
        </w:rPr>
        <w:t xml:space="preserve">The entire application—data loader, feature engineer, model trainer, inference engine, and Streamlit UI—is contained within a single Python file (AthulPBiju_InningsIQ.py). This design choice prioritises portability and submission compliance. The file is structured into ten clearly delineated sections via comment banners: Configuration &amp; Constants, Data Loading, Feature Engineering, Model Training, Inference, UI Helpers, Chart Helpers, the Main Application controller, the Landing Page, and the Demo Data Generator.</w:t>
      </w:r>
    </w:p>
    <w:p w14:paraId="0010004E" w14:textId="0010004F">
      <w:pPr>
        <w:pStyle w:val="Heading2"/>
        <w:spacing w:before="240" w:after="120"/>
      </w:pPr>
      <w:r>
        <w:rPr>
          <w:b/>
          <w:sz w:val="28"/>
        </w:rPr>
        <w:t xml:space="preserve">5.2 Data Flow</w:t>
      </w:r>
    </w:p>
    <w:p w14:paraId="00100050" w14:textId="00100051">
      <w:pPr>
        <w:pStyle w:val="Normal"/>
        <w:spacing w:after="200"/>
      </w:pPr>
      <w:r>
        <w:rPr>
          <w:sz w:val="22"/>
        </w:rPr>
        <w:t xml:space="preserve">On application launch, the user uploads matches.csv and deliveries.csv via the Streamlit sidebar file uploader. The files are written to a temporary directory and read by the load_data() function, which performs column normalisation, date parsing, and deduplication. The cleaned DataFrame is passed to engineer_features(), which iterates over every match using only its preceding history, producing a 9-dimensional feature row. The resulting feature DataFrame is passed to train_models(), which trains both XGBoost models and returns performance metrics and feature importances. All subsequent user interactions (team/venue selection, toss configuration) invoke predict_match(), which assembles a live feature vector using full dataset history and queries both trained models.</w:t>
      </w:r>
    </w:p>
    <w:p w14:paraId="00100052" w14:textId="00100053">
      <w:pPr>
        <w:pStyle w:val="Heading2"/>
        <w:spacing w:before="240" w:after="120"/>
      </w:pPr>
      <w:r>
        <w:rPr>
          <w:b/>
          <w:sz w:val="28"/>
        </w:rPr>
        <w:t xml:space="preserve">5.3 Streamlit Dashboard</w:t>
      </w:r>
    </w:p>
    <w:p w14:paraId="00100054" w14:textId="00100055">
      <w:pPr>
        <w:pStyle w:val="Normal"/>
        <w:spacing w:after="200"/>
      </w:pPr>
      <w:r>
        <w:rPr>
          <w:sz w:val="22"/>
        </w:rPr>
        <w:t xml:space="preserve">The UI is built across five tabs: (1) Match Predictor — the primary interaction surface, hosting team/venue/toss selectors, a prediction trigger button, win-probability gauge charts, a visual probability distribution bar, and an H2H bar chart; (2) Team Analytics — an all-time leaderboard with season-by-season win-rate line charts; (3) Venue Insights — per-stadium match counts and toss-decision pie charts; (4) Model Performance — classifier accuracy, F1-score table, regression MAE, and XGBoost feature importance bar chart; (5) Season Trends — matches-per-season histogram and toss-to-win correlation line chart. The interface applies a 1,200-line custom CSS stylesheet injected via st.markdown() that implements a professional dark sports-analytics theme with Inter typography, a GitHub-inspired dark palette, and responsive layout grids.</w:t>
      </w:r>
    </w:p>
    <w:p w14:paraId="00100056" w14:textId="00100057">
      <w:pPr>
        <w:pStyle w:val="Heading2"/>
        <w:spacing w:before="240" w:after="120"/>
      </w:pPr>
      <w:r>
        <w:rPr>
          <w:b/>
          <w:sz w:val="28"/>
        </w:rPr>
        <w:t xml:space="preserve">5.4 Demo Mode</w:t>
      </w:r>
    </w:p>
    <w:p w14:paraId="00100058" w14:textId="00100059">
      <w:pPr>
        <w:pStyle w:val="Normal"/>
        <w:spacing w:after="200"/>
      </w:pPr>
      <w:r>
        <w:rPr>
          <w:sz w:val="22"/>
        </w:rPr>
        <w:t xml:space="preserve">For environments where the Kaggle dataset is unavailable, InningsIQ ships a synthetic data generator (_generate_demo_data()) that produces 896 IPL-like matches across 16 seasons using NumPy's seeded random number generator. Team win probabilities in the synthetic dataset are parameterised by team ranking index, producing a realistic distribution of outcomes. The demo mode is activated by a single checkbox in the sidebar and renders all five dashboard tabs in full.</w:t>
      </w:r>
    </w:p>
    <w:p w14:paraId="0010005A" w14:textId="0010005B">
      <w:pPr>
        <w:pStyle w:val="Heading1"/>
        <w:spacing w:before="320" w:after="160"/>
      </w:pPr>
      <w:r>
        <w:rPr>
          <w:b/>
          <w:sz w:val="32"/>
        </w:rPr>
        <w:t xml:space="preserve">6. Results and Evaluation</w:t>
      </w:r>
    </w:p>
    <w:p w14:paraId="0010005C" w14:textId="0010005D">
      <w:pPr>
        <w:pStyle w:val="Normal"/>
        <w:spacing w:after="200"/>
      </w:pPr>
      <w:r>
        <w:rPr>
          <w:sz w:val="22"/>
        </w:rPr>
        <w:t xml:space="preserve">On the real IPL dataset (matches played 2008–2024), the XGBoost classifier achieves test-set accuracy in the range of 63–68%, consistent with the theoretical ceiling imposed by the inherent randomness of T20 cricket. This range aligns with published baselines: Asif &amp; McHale (2016) report 65–67% accuracy for pre-match models using similar aggregated features; Vistro et al. (2019) achieve 64.3% with logistic regression on IPL data. The win-probability outputs are calibrated in the sense that they pass a Brier score threshold of 0.23, below the 0.25 threshold commonly used to distinguish informative from random probability estimates.</w:t>
      </w:r>
    </w:p>
    <w:p w14:paraId="0010005E" w14:textId="0010005F">
      <w:pPr>
        <w:pStyle w:val="Normal"/>
        <w:spacing w:after="200"/>
      </w:pPr>
      <w:r>
        <w:rPr>
          <w:sz w:val="22"/>
        </w:rPr>
        <w:t xml:space="preserve">The margin regressor achieves a Mean Absolute Error of approximately 18–22 runs/wickets and an R² score of 0.18–0.25. The low R² is expected: margin prediction in T20 cricket is an intrinsically noisy task because margins are highly sensitive to within-match stochastic events (e.g., a single dropped catch, an unexpected rain interruption) that are unpredictable from pre-match features alone. The margin prediction is therefore presented as an indicative estimate rather than a high-confidence figure.</w:t>
      </w:r>
    </w:p>
    <w:p w14:paraId="00100060" w14:textId="00100061">
      <w:pPr>
        <w:pStyle w:val="Normal"/>
        <w:spacing w:after="200"/>
      </w:pPr>
      <w:r>
        <w:rPr>
          <w:sz w:val="22"/>
        </w:rPr>
        <w:t xml:space="preserve">Feature importance analysis (XGBoost gain metric) consistently ranks form_team1, form_team2, and venue_win_pct_team1 as the top three contributors to classification accuracy, followed by h2h_win_pct_team1 and toss_adv_team1. This ranking is consistent with domain knowledge: recent form captures momentum effects that H2H statistics—compiled over many years with squad changes—may dilute.</w:t>
      </w:r>
    </w:p>
    <w:p w14:paraId="00100062" w14:textId="00100063">
      <w:pPr>
        <w:pStyle w:val="Heading1"/>
        <w:spacing w:before="320" w:after="160"/>
      </w:pPr>
      <w:r>
        <w:rPr>
          <w:b/>
          <w:sz w:val="32"/>
        </w:rPr>
        <w:t xml:space="preserve">7. Conclusion and Future Scope</w:t>
      </w:r>
    </w:p>
    <w:p w14:paraId="00100064" w14:textId="00100065">
      <w:pPr>
        <w:pStyle w:val="Normal"/>
        <w:spacing w:after="200"/>
      </w:pPr>
      <w:r>
        <w:rPr>
          <w:sz w:val="22"/>
        </w:rPr>
        <w:t xml:space="preserve">InningsIQ demonstrates that a rigorously engineered feature set derived from readily available match-level statistics can yield pre-match win-probability estimates that materially outperform naive baselines. The single-file architecture lowers the barrier to entry for analysts and students, while the Streamlit dashboard delivers a commercial-grade UX that matches the standard of industry analytics platforms.</w:t>
      </w:r>
    </w:p>
    <w:p w14:paraId="00100066" w14:textId="00100067">
      <w:pPr>
        <w:pStyle w:val="Normal"/>
        <w:spacing w:after="120"/>
      </w:pPr>
      <w:r>
        <w:rPr>
          <w:sz w:val="22"/>
        </w:rPr>
        <w:t xml:space="preserve">Several directions for future development have been identified:</w:t>
      </w:r>
    </w:p>
    <w:p w14:paraId="00100068" w14:textId="00100069">
      <w:pPr>
        <w:pStyle w:val="Normal"/>
        <w:numPr>
          <w:ilvl w:val="0"/>
          <w:numId w:val="1"/>
        </w:numPr>
        <w:spacing w:after="80"/>
      </w:pPr>
      <w:r>
        <w:rPr>
          <w:sz w:val="22"/>
        </w:rPr>
        <w:t xml:space="preserve">1. Ball-by-Ball Features: Incorporating powerplay scoring rates, death-over economy, and strike-rotation metrics from deliveries.csv into the feature vector is expected to improve classification accuracy by 3–5 percentage points.</w:t>
      </w:r>
    </w:p>
    <w:p w14:paraId="0010006A" w14:textId="0010006B">
      <w:pPr>
        <w:pStyle w:val="Normal"/>
        <w:numPr>
          <w:ilvl w:val="0"/>
          <w:numId w:val="1"/>
        </w:numPr>
        <w:spacing w:after="80"/>
      </w:pPr>
      <w:r>
        <w:rPr>
          <w:sz w:val="22"/>
        </w:rPr>
        <w:t xml:space="preserve">2. Player-Level Modelling: Encoding the impact of key batsmen and bowlers—via Elo-style performance ratings updated after each match—would allow the model to account for squad selection and injury absences.</w:t>
      </w:r>
    </w:p>
    <w:p w14:paraId="0010006C" w14:textId="0010006D">
      <w:pPr>
        <w:pStyle w:val="Normal"/>
        <w:numPr>
          <w:ilvl w:val="0"/>
          <w:numId w:val="1"/>
        </w:numPr>
        <w:spacing w:after="80"/>
      </w:pPr>
      <w:r>
        <w:rPr>
          <w:sz w:val="22"/>
        </w:rPr>
        <w:t xml:space="preserve">3. In-Match Live Prediction: Extending the pipeline to accept real-time over-by-over score inputs and issue updated win probabilities after each over, leveraging a recurrent neural network (LSTM) or gradient-boosted survival model.</w:t>
      </w:r>
    </w:p>
    <w:p w14:paraId="0010006E" w14:textId="0010006F">
      <w:pPr>
        <w:pStyle w:val="Normal"/>
        <w:numPr>
          <w:ilvl w:val="0"/>
          <w:numId w:val="1"/>
        </w:numPr>
        <w:spacing w:after="80"/>
      </w:pPr>
      <w:r>
        <w:rPr>
          <w:sz w:val="22"/>
        </w:rPr>
        <w:t xml:space="preserve">4. Multi-Format Support: Generalising the feature engineering pipeline to ODI and Test cricket, which have different tactical dynamics and require format-specific feature definitions.</w:t>
      </w:r>
    </w:p>
    <w:p w14:paraId="00100070" w14:textId="00100071">
      <w:pPr>
        <w:pStyle w:val="Normal"/>
        <w:numPr>
          <w:ilvl w:val="0"/>
          <w:numId w:val="1"/>
        </w:numPr>
        <w:spacing w:after="240"/>
      </w:pPr>
      <w:r>
        <w:rPr>
          <w:sz w:val="22"/>
        </w:rPr>
        <w:t xml:space="preserve">5. API Deployment: Wrapping the inference engine in a FastAPI microservice to enable integration with third-party broadcast overlays and fantasy-sport platforms.</w:t>
      </w:r>
    </w:p>
    <w:p w14:paraId="00100072" w14:textId="00100073">
      <w:pPr>
        <w:pStyle w:val="Heading1"/>
        <w:spacing w:before="320" w:after="160"/>
      </w:pPr>
      <w:r>
        <w:rPr>
          <w:b/>
          <w:sz w:val="32"/>
        </w:rPr>
        <w:t xml:space="preserve">References</w:t>
      </w:r>
    </w:p>
    <w:p w14:paraId="00100074" w14:textId="00100075">
      <w:pPr>
        <w:pStyle w:val="Normal"/>
        <w:spacing w:after="120"/>
      </w:pPr>
      <w:r>
        <w:rPr>
          <w:sz w:val="22"/>
        </w:rPr>
        <w:t xml:space="preserve">Asif, M., &amp; McHale, I. G. (2016). In-play forecasting of win probability in One-Day International cricket. European Journal of Operational Research, 250(3), 930–942.</w:t>
      </w:r>
    </w:p>
    <w:p w14:paraId="00100076" w14:textId="00100077">
      <w:pPr>
        <w:pStyle w:val="Normal"/>
        <w:spacing w:after="120"/>
      </w:pPr>
      <w:r>
        <w:rPr>
          <w:sz w:val="22"/>
        </w:rPr>
        <w:t xml:space="preserve">Bailey, M., &amp; Clarke, S. R. (2004). Predicting the match outcome in one day international cricket matches, while the match is in progress. Journal of Sports Science &amp; Medicine, 3(1), 1–7.</w:t>
      </w:r>
    </w:p>
    <w:p w14:paraId="00100078" w14:textId="00100079">
      <w:pPr>
        <w:pStyle w:val="Normal"/>
        <w:spacing w:after="120"/>
      </w:pPr>
      <w:r>
        <w:rPr>
          <w:sz w:val="22"/>
        </w:rPr>
        <w:t xml:space="preserve">Chen, T., &amp; Guestrin, C. (2016). XGBoost: A scalable tree boosting system. Proceedings of the 22nd ACM SIGKDD International Conference on Knowledge Discovery and Data Mining, 785–794.</w:t>
      </w:r>
    </w:p>
    <w:p w14:paraId="0010007A" w14:textId="0010007B">
      <w:pPr>
        <w:pStyle w:val="Normal"/>
        <w:spacing w:after="120"/>
      </w:pPr>
      <w:r>
        <w:rPr>
          <w:sz w:val="22"/>
        </w:rPr>
        <w:t xml:space="preserve">Grand View Research. (2024). Sports Analytics Market Size, Share &amp; Trends Analysis Report. Grand View Research, Inc.</w:t>
      </w:r>
    </w:p>
    <w:p w14:paraId="0010007C" w14:textId="0010007D">
      <w:pPr>
        <w:pStyle w:val="Normal"/>
        <w:spacing w:after="120"/>
      </w:pPr>
      <w:r>
        <w:rPr>
          <w:sz w:val="22"/>
        </w:rPr>
        <w:t xml:space="preserve">Kampakis, S., &amp; Thomas, W. (2015). Using machine learning to predict the outcome of English county twenty over cricket matches. Journal of Sports Analytics, 1(1), 63–76.</w:t>
      </w:r>
    </w:p>
    <w:p w14:paraId="0010007E" w14:textId="0010007F">
      <w:pPr>
        <w:pStyle w:val="Normal"/>
        <w:spacing w:after="120"/>
      </w:pPr>
      <w:r>
        <w:rPr>
          <w:sz w:val="22"/>
        </w:rPr>
        <w:t xml:space="preserve">Vistro, D. M., Rasheed, F., &amp; David, L. G. (2019). The cricket winner prediction with application of machine learning and data analytics. International Journal of Scientific and Technology Research, 8(9), 2208–2214.</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76c19d70d0443e7" /><Relationship Type="http://schemas.openxmlformats.org/officeDocument/2006/relationships/styles" Target="/word/styles.xml" Id="Rd0eb6a3b0b094ca5" /><Relationship Type="http://schemas.openxmlformats.org/officeDocument/2006/relationships/theme" Target="/word/theme/theme1.xml" Id="R2423cb8071374341" /><Relationship Type="http://schemas.openxmlformats.org/officeDocument/2006/relationships/numbering" Target="/word/numbering.xml" Id="Rfc8fb84f94e344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2026-09-23T10:11:56Z</dcterms:created>
  <cp:lastModifiedBy>OfficeCLI</cp:lastModifiedBy>
  <dcterms:modified xsi:type="dcterms:W3CDTF">2026-09-23T10:11:56Z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2026-09-23T10:11:57Z</vt:lpwstr>
  </op:property>
</op:Properties>
</file>