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351"/>
        <w:gridCol w:w="1277"/>
        <w:gridCol w:w="1142"/>
        <w:gridCol w:w="939"/>
        <w:gridCol w:w="994"/>
        <w:gridCol w:w="1058"/>
        <w:gridCol w:w="1098"/>
      </w:tblGrid>
      <w:tr w:rsidR="001A7DA4" w:rsidRPr="001A7DA4" w14:paraId="25A97ED5" w14:textId="77777777" w:rsidTr="001A7DA4">
        <w:trPr>
          <w:tblHeader/>
          <w:tblCellSpacing w:w="15" w:type="dxa"/>
        </w:trPr>
        <w:tc>
          <w:tcPr>
            <w:tcW w:w="1122" w:type="dxa"/>
            <w:vAlign w:val="center"/>
            <w:hideMark/>
          </w:tcPr>
          <w:p w14:paraId="5D979AFE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Data Source</w:t>
            </w:r>
          </w:p>
        </w:tc>
        <w:tc>
          <w:tcPr>
            <w:tcW w:w="1321" w:type="dxa"/>
            <w:vAlign w:val="center"/>
            <w:hideMark/>
          </w:tcPr>
          <w:p w14:paraId="1C21E3C2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Provider</w:t>
            </w:r>
          </w:p>
        </w:tc>
        <w:tc>
          <w:tcPr>
            <w:tcW w:w="1247" w:type="dxa"/>
            <w:vAlign w:val="center"/>
            <w:hideMark/>
          </w:tcPr>
          <w:p w14:paraId="5B2B4904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Type of Data</w:t>
            </w:r>
          </w:p>
        </w:tc>
        <w:tc>
          <w:tcPr>
            <w:tcW w:w="1112" w:type="dxa"/>
            <w:vAlign w:val="center"/>
            <w:hideMark/>
          </w:tcPr>
          <w:p w14:paraId="269CF97E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Variables Available</w:t>
            </w:r>
          </w:p>
        </w:tc>
        <w:tc>
          <w:tcPr>
            <w:tcW w:w="909" w:type="dxa"/>
            <w:vAlign w:val="center"/>
            <w:hideMark/>
          </w:tcPr>
          <w:p w14:paraId="6F1C24D9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Temporal Resolution</w:t>
            </w:r>
          </w:p>
        </w:tc>
        <w:tc>
          <w:tcPr>
            <w:tcW w:w="964" w:type="dxa"/>
            <w:vAlign w:val="center"/>
            <w:hideMark/>
          </w:tcPr>
          <w:p w14:paraId="25BE7D03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Coverage</w:t>
            </w:r>
          </w:p>
        </w:tc>
        <w:tc>
          <w:tcPr>
            <w:tcW w:w="1028" w:type="dxa"/>
            <w:vAlign w:val="center"/>
            <w:hideMark/>
          </w:tcPr>
          <w:p w14:paraId="17CEB063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Access</w:t>
            </w:r>
          </w:p>
        </w:tc>
        <w:tc>
          <w:tcPr>
            <w:tcW w:w="1053" w:type="dxa"/>
            <w:vAlign w:val="center"/>
            <w:hideMark/>
          </w:tcPr>
          <w:p w14:paraId="6F5186B3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Typical Use in EPF</w:t>
            </w:r>
          </w:p>
        </w:tc>
      </w:tr>
      <w:tr w:rsidR="001A7DA4" w:rsidRPr="001A7DA4" w14:paraId="66734D87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72738A5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Day-Ahead Market Data</w:t>
            </w:r>
          </w:p>
        </w:tc>
        <w:tc>
          <w:tcPr>
            <w:tcW w:w="1321" w:type="dxa"/>
            <w:vAlign w:val="center"/>
            <w:hideMark/>
          </w:tcPr>
          <w:p w14:paraId="558E369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Power Exchange (</w:t>
            </w:r>
            <w:r w:rsidRPr="001A7DA4">
              <w:rPr>
                <w:highlight w:val="yellow"/>
                <w:lang w:val="en-DE"/>
              </w:rPr>
              <w:t>EPEX SPOT</w:t>
            </w:r>
            <w:r w:rsidRPr="001A7DA4">
              <w:rPr>
                <w:lang w:val="en-DE"/>
              </w:rPr>
              <w:t>)</w:t>
            </w:r>
          </w:p>
        </w:tc>
        <w:tc>
          <w:tcPr>
            <w:tcW w:w="1247" w:type="dxa"/>
            <w:vAlign w:val="center"/>
            <w:hideMark/>
          </w:tcPr>
          <w:p w14:paraId="4BD03D4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Electricity market prices</w:t>
            </w:r>
          </w:p>
        </w:tc>
        <w:tc>
          <w:tcPr>
            <w:tcW w:w="1112" w:type="dxa"/>
            <w:vAlign w:val="center"/>
            <w:hideMark/>
          </w:tcPr>
          <w:p w14:paraId="0ECCB10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Day-ahead prices</w:t>
            </w:r>
            <w:r w:rsidRPr="001A7DA4">
              <w:rPr>
                <w:lang w:val="en-DE"/>
              </w:rPr>
              <w:t>, traded volumes</w:t>
            </w:r>
          </w:p>
        </w:tc>
        <w:tc>
          <w:tcPr>
            <w:tcW w:w="909" w:type="dxa"/>
            <w:vAlign w:val="center"/>
            <w:hideMark/>
          </w:tcPr>
          <w:p w14:paraId="5DAF3AC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</w:t>
            </w:r>
          </w:p>
        </w:tc>
        <w:tc>
          <w:tcPr>
            <w:tcW w:w="964" w:type="dxa"/>
            <w:vAlign w:val="center"/>
            <w:hideMark/>
          </w:tcPr>
          <w:p w14:paraId="266E756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Germany, France, Austria, Switzerland</w:t>
            </w:r>
          </w:p>
        </w:tc>
        <w:tc>
          <w:tcPr>
            <w:tcW w:w="1028" w:type="dxa"/>
            <w:vAlign w:val="center"/>
            <w:hideMark/>
          </w:tcPr>
          <w:p w14:paraId="7699CD9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Exchange / commercial</w:t>
            </w:r>
          </w:p>
        </w:tc>
        <w:tc>
          <w:tcPr>
            <w:tcW w:w="1053" w:type="dxa"/>
            <w:vAlign w:val="center"/>
            <w:hideMark/>
          </w:tcPr>
          <w:p w14:paraId="05714BB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Primary target variable for most EPF models</w:t>
            </w:r>
          </w:p>
        </w:tc>
      </w:tr>
      <w:tr w:rsidR="001A7DA4" w:rsidRPr="001A7DA4" w14:paraId="6E731FA1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707212E6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Intraday Market Data</w:t>
            </w:r>
          </w:p>
        </w:tc>
        <w:tc>
          <w:tcPr>
            <w:tcW w:w="1321" w:type="dxa"/>
            <w:vAlign w:val="center"/>
            <w:hideMark/>
          </w:tcPr>
          <w:p w14:paraId="634C001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Power Exchange (EPEX SPOT)</w:t>
            </w:r>
          </w:p>
        </w:tc>
        <w:tc>
          <w:tcPr>
            <w:tcW w:w="1247" w:type="dxa"/>
            <w:vAlign w:val="center"/>
            <w:hideMark/>
          </w:tcPr>
          <w:p w14:paraId="75AD041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Electricity trading data</w:t>
            </w:r>
          </w:p>
        </w:tc>
        <w:tc>
          <w:tcPr>
            <w:tcW w:w="1112" w:type="dxa"/>
            <w:vAlign w:val="center"/>
            <w:hideMark/>
          </w:tcPr>
          <w:p w14:paraId="0981EE7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Intraday prices, trades, order book data</w:t>
            </w:r>
          </w:p>
        </w:tc>
        <w:tc>
          <w:tcPr>
            <w:tcW w:w="909" w:type="dxa"/>
            <w:vAlign w:val="center"/>
            <w:hideMark/>
          </w:tcPr>
          <w:p w14:paraId="58A659D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15-min to hourly</w:t>
            </w:r>
          </w:p>
        </w:tc>
        <w:tc>
          <w:tcPr>
            <w:tcW w:w="964" w:type="dxa"/>
            <w:vAlign w:val="center"/>
            <w:hideMark/>
          </w:tcPr>
          <w:p w14:paraId="00D09A2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Central Europe</w:t>
            </w:r>
          </w:p>
        </w:tc>
        <w:tc>
          <w:tcPr>
            <w:tcW w:w="1028" w:type="dxa"/>
            <w:vAlign w:val="center"/>
            <w:hideMark/>
          </w:tcPr>
          <w:p w14:paraId="5DB7250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Exchange / commercial</w:t>
            </w:r>
          </w:p>
        </w:tc>
        <w:tc>
          <w:tcPr>
            <w:tcW w:w="1053" w:type="dxa"/>
            <w:vAlign w:val="center"/>
            <w:hideMark/>
          </w:tcPr>
          <w:p w14:paraId="561493B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Intraday forecasting and trading strategy models</w:t>
            </w:r>
          </w:p>
        </w:tc>
      </w:tr>
      <w:tr w:rsidR="001A7DA4" w:rsidRPr="001A7DA4" w14:paraId="6800EBA2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5191490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Transparency Platform</w:t>
            </w:r>
          </w:p>
        </w:tc>
        <w:tc>
          <w:tcPr>
            <w:tcW w:w="1321" w:type="dxa"/>
            <w:vAlign w:val="center"/>
            <w:hideMark/>
          </w:tcPr>
          <w:p w14:paraId="4DAAFD16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ENTSO-E</w:t>
            </w:r>
          </w:p>
        </w:tc>
        <w:tc>
          <w:tcPr>
            <w:tcW w:w="1247" w:type="dxa"/>
            <w:vAlign w:val="center"/>
            <w:hideMark/>
          </w:tcPr>
          <w:p w14:paraId="33BC1EA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Power system fundamentals</w:t>
            </w:r>
          </w:p>
        </w:tc>
        <w:tc>
          <w:tcPr>
            <w:tcW w:w="1112" w:type="dxa"/>
            <w:vAlign w:val="center"/>
            <w:hideMark/>
          </w:tcPr>
          <w:p w14:paraId="52F057C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Load, generation by type, cross-border flows, outages</w:t>
            </w:r>
          </w:p>
        </w:tc>
        <w:tc>
          <w:tcPr>
            <w:tcW w:w="909" w:type="dxa"/>
            <w:vAlign w:val="center"/>
            <w:hideMark/>
          </w:tcPr>
          <w:p w14:paraId="6963BA0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15-min / hourly</w:t>
            </w:r>
          </w:p>
        </w:tc>
        <w:tc>
          <w:tcPr>
            <w:tcW w:w="964" w:type="dxa"/>
            <w:vAlign w:val="center"/>
            <w:hideMark/>
          </w:tcPr>
          <w:p w14:paraId="31E5088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All European markets</w:t>
            </w:r>
          </w:p>
        </w:tc>
        <w:tc>
          <w:tcPr>
            <w:tcW w:w="1028" w:type="dxa"/>
            <w:vAlign w:val="center"/>
            <w:hideMark/>
          </w:tcPr>
          <w:p w14:paraId="3A85A07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 API</w:t>
            </w:r>
          </w:p>
        </w:tc>
        <w:tc>
          <w:tcPr>
            <w:tcW w:w="1053" w:type="dxa"/>
            <w:vAlign w:val="center"/>
            <w:hideMark/>
          </w:tcPr>
          <w:p w14:paraId="3369417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Core explanatory variables in ML forecasting models</w:t>
            </w:r>
          </w:p>
        </w:tc>
      </w:tr>
      <w:tr w:rsidR="001A7DA4" w:rsidRPr="001A7DA4" w14:paraId="4D82418E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065CA6A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German TSO Open Data</w:t>
            </w:r>
          </w:p>
        </w:tc>
        <w:tc>
          <w:tcPr>
            <w:tcW w:w="1321" w:type="dxa"/>
            <w:vAlign w:val="center"/>
            <w:hideMark/>
          </w:tcPr>
          <w:p w14:paraId="2B7237B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 xml:space="preserve">50Hertz Transmission GmbH, </w:t>
            </w:r>
            <w:proofErr w:type="spellStart"/>
            <w:r w:rsidRPr="001A7DA4">
              <w:rPr>
                <w:lang w:val="en-DE"/>
              </w:rPr>
              <w:t>Amprion</w:t>
            </w:r>
            <w:proofErr w:type="spellEnd"/>
            <w:r w:rsidRPr="001A7DA4">
              <w:rPr>
                <w:lang w:val="en-DE"/>
              </w:rPr>
              <w:t xml:space="preserve">, </w:t>
            </w:r>
            <w:proofErr w:type="spellStart"/>
            <w:r w:rsidRPr="001A7DA4">
              <w:rPr>
                <w:lang w:val="en-DE"/>
              </w:rPr>
              <w:t>TenneT</w:t>
            </w:r>
            <w:proofErr w:type="spellEnd"/>
            <w:r w:rsidRPr="001A7DA4">
              <w:rPr>
                <w:lang w:val="en-DE"/>
              </w:rPr>
              <w:t xml:space="preserve">, </w:t>
            </w:r>
            <w:proofErr w:type="spellStart"/>
            <w:r w:rsidRPr="001A7DA4">
              <w:rPr>
                <w:lang w:val="en-DE"/>
              </w:rPr>
              <w:t>TransnetBW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57D092F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Power system data</w:t>
            </w:r>
          </w:p>
        </w:tc>
        <w:tc>
          <w:tcPr>
            <w:tcW w:w="1112" w:type="dxa"/>
            <w:vAlign w:val="center"/>
            <w:hideMark/>
          </w:tcPr>
          <w:p w14:paraId="77A3EB7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Renewable generation, grid load, balancing energy</w:t>
            </w:r>
          </w:p>
        </w:tc>
        <w:tc>
          <w:tcPr>
            <w:tcW w:w="909" w:type="dxa"/>
            <w:vAlign w:val="center"/>
            <w:hideMark/>
          </w:tcPr>
          <w:p w14:paraId="668E3D1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15-min</w:t>
            </w:r>
          </w:p>
        </w:tc>
        <w:tc>
          <w:tcPr>
            <w:tcW w:w="964" w:type="dxa"/>
            <w:vAlign w:val="center"/>
            <w:hideMark/>
          </w:tcPr>
          <w:p w14:paraId="79CA0F4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Germany</w:t>
            </w:r>
          </w:p>
        </w:tc>
        <w:tc>
          <w:tcPr>
            <w:tcW w:w="1028" w:type="dxa"/>
            <w:vAlign w:val="center"/>
            <w:hideMark/>
          </w:tcPr>
          <w:p w14:paraId="57B980B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</w:t>
            </w:r>
          </w:p>
        </w:tc>
        <w:tc>
          <w:tcPr>
            <w:tcW w:w="1053" w:type="dxa"/>
            <w:vAlign w:val="center"/>
            <w:hideMark/>
          </w:tcPr>
          <w:p w14:paraId="028BEFF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High-resolution renewable and grid data</w:t>
            </w:r>
          </w:p>
        </w:tc>
      </w:tr>
      <w:tr w:rsidR="001A7DA4" w:rsidRPr="001A7DA4" w14:paraId="25264EDA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1919C87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Open Power System Data (OPSD)</w:t>
            </w:r>
          </w:p>
        </w:tc>
        <w:tc>
          <w:tcPr>
            <w:tcW w:w="1321" w:type="dxa"/>
            <w:vAlign w:val="center"/>
            <w:hideMark/>
          </w:tcPr>
          <w:p w14:paraId="0D2C72F2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Open Power System Data</w:t>
            </w:r>
          </w:p>
        </w:tc>
        <w:tc>
          <w:tcPr>
            <w:tcW w:w="1247" w:type="dxa"/>
            <w:vAlign w:val="center"/>
            <w:hideMark/>
          </w:tcPr>
          <w:p w14:paraId="7D426F1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Aggregated energy dataset</w:t>
            </w:r>
          </w:p>
        </w:tc>
        <w:tc>
          <w:tcPr>
            <w:tcW w:w="1112" w:type="dxa"/>
            <w:vAlign w:val="center"/>
            <w:hideMark/>
          </w:tcPr>
          <w:p w14:paraId="78AD135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Electricity prices, load, renewable generation, weather</w:t>
            </w:r>
          </w:p>
        </w:tc>
        <w:tc>
          <w:tcPr>
            <w:tcW w:w="909" w:type="dxa"/>
            <w:vAlign w:val="center"/>
            <w:hideMark/>
          </w:tcPr>
          <w:p w14:paraId="22CB8A7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</w:t>
            </w:r>
          </w:p>
        </w:tc>
        <w:tc>
          <w:tcPr>
            <w:tcW w:w="964" w:type="dxa"/>
            <w:vAlign w:val="center"/>
            <w:hideMark/>
          </w:tcPr>
          <w:p w14:paraId="758B779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 (focus Germany)</w:t>
            </w:r>
          </w:p>
        </w:tc>
        <w:tc>
          <w:tcPr>
            <w:tcW w:w="1028" w:type="dxa"/>
            <w:vAlign w:val="center"/>
            <w:hideMark/>
          </w:tcPr>
          <w:p w14:paraId="02784BA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</w:t>
            </w:r>
          </w:p>
        </w:tc>
        <w:tc>
          <w:tcPr>
            <w:tcW w:w="1053" w:type="dxa"/>
            <w:vAlign w:val="center"/>
            <w:hideMark/>
          </w:tcPr>
          <w:p w14:paraId="5BFA1C8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Clean benchmark dataset widely used in research</w:t>
            </w:r>
          </w:p>
        </w:tc>
      </w:tr>
      <w:tr w:rsidR="001A7DA4" w:rsidRPr="001A7DA4" w14:paraId="1E66F409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49ABD4D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Weather Forecast Data</w:t>
            </w:r>
          </w:p>
        </w:tc>
        <w:tc>
          <w:tcPr>
            <w:tcW w:w="1321" w:type="dxa"/>
            <w:vAlign w:val="center"/>
            <w:hideMark/>
          </w:tcPr>
          <w:p w14:paraId="601024A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Centre for Medium-Range Weather Forecasts</w:t>
            </w:r>
          </w:p>
        </w:tc>
        <w:tc>
          <w:tcPr>
            <w:tcW w:w="1247" w:type="dxa"/>
            <w:vAlign w:val="center"/>
            <w:hideMark/>
          </w:tcPr>
          <w:p w14:paraId="665BD70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Meteorological data</w:t>
            </w:r>
          </w:p>
        </w:tc>
        <w:tc>
          <w:tcPr>
            <w:tcW w:w="1112" w:type="dxa"/>
            <w:vAlign w:val="center"/>
            <w:hideMark/>
          </w:tcPr>
          <w:p w14:paraId="6C5489F2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Temperature, wind speed, solar radiation, pressure</w:t>
            </w:r>
          </w:p>
        </w:tc>
        <w:tc>
          <w:tcPr>
            <w:tcW w:w="909" w:type="dxa"/>
            <w:vAlign w:val="center"/>
            <w:hideMark/>
          </w:tcPr>
          <w:p w14:paraId="023CEC6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 / daily</w:t>
            </w:r>
          </w:p>
        </w:tc>
        <w:tc>
          <w:tcPr>
            <w:tcW w:w="964" w:type="dxa"/>
            <w:vAlign w:val="center"/>
            <w:hideMark/>
          </w:tcPr>
          <w:p w14:paraId="7646A71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Global</w:t>
            </w:r>
          </w:p>
        </w:tc>
        <w:tc>
          <w:tcPr>
            <w:tcW w:w="1028" w:type="dxa"/>
            <w:vAlign w:val="center"/>
            <w:hideMark/>
          </w:tcPr>
          <w:p w14:paraId="0F856F4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Subscription / research access</w:t>
            </w:r>
          </w:p>
        </w:tc>
        <w:tc>
          <w:tcPr>
            <w:tcW w:w="1053" w:type="dxa"/>
            <w:vAlign w:val="center"/>
            <w:hideMark/>
          </w:tcPr>
          <w:p w14:paraId="0D0BF29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Renewable generation and demand forecasting</w:t>
            </w:r>
          </w:p>
        </w:tc>
      </w:tr>
      <w:tr w:rsidR="001A7DA4" w:rsidRPr="001A7DA4" w14:paraId="0117EC45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6EACBAE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Climate Reanalysis Data</w:t>
            </w:r>
          </w:p>
        </w:tc>
        <w:tc>
          <w:tcPr>
            <w:tcW w:w="1321" w:type="dxa"/>
            <w:vAlign w:val="center"/>
            <w:hideMark/>
          </w:tcPr>
          <w:p w14:paraId="738C4F7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Copernicus Climate Change Service</w:t>
            </w:r>
          </w:p>
        </w:tc>
        <w:tc>
          <w:tcPr>
            <w:tcW w:w="1247" w:type="dxa"/>
            <w:vAlign w:val="center"/>
            <w:hideMark/>
          </w:tcPr>
          <w:p w14:paraId="68D1971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Historical weather data</w:t>
            </w:r>
          </w:p>
        </w:tc>
        <w:tc>
          <w:tcPr>
            <w:tcW w:w="1112" w:type="dxa"/>
            <w:vAlign w:val="center"/>
            <w:hideMark/>
          </w:tcPr>
          <w:p w14:paraId="4B9F42B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 xml:space="preserve">Wind speed, irradiance, </w:t>
            </w:r>
            <w:r w:rsidRPr="001A7DA4">
              <w:rPr>
                <w:lang w:val="en-DE"/>
              </w:rPr>
              <w:lastRenderedPageBreak/>
              <w:t>temperature</w:t>
            </w:r>
          </w:p>
        </w:tc>
        <w:tc>
          <w:tcPr>
            <w:tcW w:w="909" w:type="dxa"/>
            <w:vAlign w:val="center"/>
            <w:hideMark/>
          </w:tcPr>
          <w:p w14:paraId="37CF917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lastRenderedPageBreak/>
              <w:t>Hourly</w:t>
            </w:r>
          </w:p>
        </w:tc>
        <w:tc>
          <w:tcPr>
            <w:tcW w:w="964" w:type="dxa"/>
            <w:vAlign w:val="center"/>
            <w:hideMark/>
          </w:tcPr>
          <w:p w14:paraId="310C6F6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Global</w:t>
            </w:r>
          </w:p>
        </w:tc>
        <w:tc>
          <w:tcPr>
            <w:tcW w:w="1028" w:type="dxa"/>
            <w:vAlign w:val="center"/>
            <w:hideMark/>
          </w:tcPr>
          <w:p w14:paraId="451A8ED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 (research)</w:t>
            </w:r>
          </w:p>
        </w:tc>
        <w:tc>
          <w:tcPr>
            <w:tcW w:w="1053" w:type="dxa"/>
            <w:vAlign w:val="center"/>
            <w:hideMark/>
          </w:tcPr>
          <w:p w14:paraId="26E6D8C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Historical weather input for ML models</w:t>
            </w:r>
          </w:p>
        </w:tc>
      </w:tr>
      <w:tr w:rsidR="001A7DA4" w:rsidRPr="001A7DA4" w14:paraId="08AA2F3F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0DCFC49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Electricity Futures Data</w:t>
            </w:r>
          </w:p>
        </w:tc>
        <w:tc>
          <w:tcPr>
            <w:tcW w:w="1321" w:type="dxa"/>
            <w:vAlign w:val="center"/>
            <w:hideMark/>
          </w:tcPr>
          <w:p w14:paraId="76B5D78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Energy Exchange</w:t>
            </w:r>
          </w:p>
        </w:tc>
        <w:tc>
          <w:tcPr>
            <w:tcW w:w="1247" w:type="dxa"/>
            <w:vAlign w:val="center"/>
            <w:hideMark/>
          </w:tcPr>
          <w:p w14:paraId="391A595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Power derivatives</w:t>
            </w:r>
          </w:p>
        </w:tc>
        <w:tc>
          <w:tcPr>
            <w:tcW w:w="1112" w:type="dxa"/>
            <w:vAlign w:val="center"/>
            <w:hideMark/>
          </w:tcPr>
          <w:p w14:paraId="42E2CB4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Futures prices for power delivery</w:t>
            </w:r>
          </w:p>
        </w:tc>
        <w:tc>
          <w:tcPr>
            <w:tcW w:w="909" w:type="dxa"/>
            <w:vAlign w:val="center"/>
            <w:hideMark/>
          </w:tcPr>
          <w:p w14:paraId="119E419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Daily</w:t>
            </w:r>
          </w:p>
        </w:tc>
        <w:tc>
          <w:tcPr>
            <w:tcW w:w="964" w:type="dxa"/>
            <w:vAlign w:val="center"/>
            <w:hideMark/>
          </w:tcPr>
          <w:p w14:paraId="7F47C21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</w:t>
            </w:r>
          </w:p>
        </w:tc>
        <w:tc>
          <w:tcPr>
            <w:tcW w:w="1028" w:type="dxa"/>
            <w:vAlign w:val="center"/>
            <w:hideMark/>
          </w:tcPr>
          <w:p w14:paraId="7EED733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Commercial</w:t>
            </w:r>
          </w:p>
        </w:tc>
        <w:tc>
          <w:tcPr>
            <w:tcW w:w="1053" w:type="dxa"/>
            <w:vAlign w:val="center"/>
            <w:hideMark/>
          </w:tcPr>
          <w:p w14:paraId="766B2CF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Long-term electricity price expectations</w:t>
            </w:r>
          </w:p>
        </w:tc>
      </w:tr>
      <w:tr w:rsidR="001A7DA4" w:rsidRPr="001A7DA4" w14:paraId="6299326A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03E33A10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Fuel Market Data</w:t>
            </w:r>
          </w:p>
        </w:tc>
        <w:tc>
          <w:tcPr>
            <w:tcW w:w="1321" w:type="dxa"/>
            <w:vAlign w:val="center"/>
            <w:hideMark/>
          </w:tcPr>
          <w:p w14:paraId="3F3737C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Intercontinental Exchange</w:t>
            </w:r>
          </w:p>
        </w:tc>
        <w:tc>
          <w:tcPr>
            <w:tcW w:w="1247" w:type="dxa"/>
            <w:vAlign w:val="center"/>
            <w:hideMark/>
          </w:tcPr>
          <w:p w14:paraId="446491F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Commodity market data</w:t>
            </w:r>
          </w:p>
        </w:tc>
        <w:tc>
          <w:tcPr>
            <w:tcW w:w="1112" w:type="dxa"/>
            <w:vAlign w:val="center"/>
            <w:hideMark/>
          </w:tcPr>
          <w:p w14:paraId="61403FB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Gas prices, coal prices</w:t>
            </w:r>
          </w:p>
        </w:tc>
        <w:tc>
          <w:tcPr>
            <w:tcW w:w="909" w:type="dxa"/>
            <w:vAlign w:val="center"/>
            <w:hideMark/>
          </w:tcPr>
          <w:p w14:paraId="78D935E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Daily</w:t>
            </w:r>
          </w:p>
        </w:tc>
        <w:tc>
          <w:tcPr>
            <w:tcW w:w="964" w:type="dxa"/>
            <w:vAlign w:val="center"/>
            <w:hideMark/>
          </w:tcPr>
          <w:p w14:paraId="3FF5EAB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Global</w:t>
            </w:r>
          </w:p>
        </w:tc>
        <w:tc>
          <w:tcPr>
            <w:tcW w:w="1028" w:type="dxa"/>
            <w:vAlign w:val="center"/>
            <w:hideMark/>
          </w:tcPr>
          <w:p w14:paraId="583B060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Commercial</w:t>
            </w:r>
          </w:p>
        </w:tc>
        <w:tc>
          <w:tcPr>
            <w:tcW w:w="1053" w:type="dxa"/>
            <w:vAlign w:val="center"/>
            <w:hideMark/>
          </w:tcPr>
          <w:p w14:paraId="6B637C0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Marginal generation cost predictors</w:t>
            </w:r>
          </w:p>
        </w:tc>
      </w:tr>
      <w:tr w:rsidR="001A7DA4" w:rsidRPr="001A7DA4" w14:paraId="7EDEBA86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2A2FF6A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Carbon Market Data</w:t>
            </w:r>
          </w:p>
        </w:tc>
        <w:tc>
          <w:tcPr>
            <w:tcW w:w="1321" w:type="dxa"/>
            <w:vAlign w:val="center"/>
            <w:hideMark/>
          </w:tcPr>
          <w:p w14:paraId="0D1759D0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Union Emissions Trading System</w:t>
            </w:r>
          </w:p>
        </w:tc>
        <w:tc>
          <w:tcPr>
            <w:tcW w:w="1247" w:type="dxa"/>
            <w:vAlign w:val="center"/>
            <w:hideMark/>
          </w:tcPr>
          <w:p w14:paraId="53DD49E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Carbon allowance prices</w:t>
            </w:r>
          </w:p>
        </w:tc>
        <w:tc>
          <w:tcPr>
            <w:tcW w:w="1112" w:type="dxa"/>
            <w:vAlign w:val="center"/>
            <w:hideMark/>
          </w:tcPr>
          <w:p w14:paraId="6B698F8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 ETS CO₂ prices</w:t>
            </w:r>
          </w:p>
        </w:tc>
        <w:tc>
          <w:tcPr>
            <w:tcW w:w="909" w:type="dxa"/>
            <w:vAlign w:val="center"/>
            <w:hideMark/>
          </w:tcPr>
          <w:p w14:paraId="4BB492C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Daily</w:t>
            </w:r>
          </w:p>
        </w:tc>
        <w:tc>
          <w:tcPr>
            <w:tcW w:w="964" w:type="dxa"/>
            <w:vAlign w:val="center"/>
            <w:hideMark/>
          </w:tcPr>
          <w:p w14:paraId="69708B1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</w:t>
            </w:r>
          </w:p>
        </w:tc>
        <w:tc>
          <w:tcPr>
            <w:tcW w:w="1028" w:type="dxa"/>
            <w:vAlign w:val="center"/>
            <w:hideMark/>
          </w:tcPr>
          <w:p w14:paraId="1D94587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Public / exchange data</w:t>
            </w:r>
          </w:p>
        </w:tc>
        <w:tc>
          <w:tcPr>
            <w:tcW w:w="1053" w:type="dxa"/>
            <w:vAlign w:val="center"/>
            <w:hideMark/>
          </w:tcPr>
          <w:p w14:paraId="5F1334D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Important driver of electricity prices</w:t>
            </w:r>
          </w:p>
        </w:tc>
      </w:tr>
      <w:tr w:rsidR="001A7DA4" w:rsidRPr="001A7DA4" w14:paraId="231D63C4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41A69D2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Electricity Load Data</w:t>
            </w:r>
          </w:p>
        </w:tc>
        <w:tc>
          <w:tcPr>
            <w:tcW w:w="1321" w:type="dxa"/>
            <w:vAlign w:val="center"/>
            <w:hideMark/>
          </w:tcPr>
          <w:p w14:paraId="2FE74EA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 xml:space="preserve">ENTSO-E / </w:t>
            </w:r>
            <w:proofErr w:type="spellStart"/>
            <w:r w:rsidRPr="001A7DA4">
              <w:rPr>
                <w:lang w:val="en-DE"/>
              </w:rPr>
              <w:t>TSOs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57C1886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Demand data</w:t>
            </w:r>
          </w:p>
        </w:tc>
        <w:tc>
          <w:tcPr>
            <w:tcW w:w="1112" w:type="dxa"/>
            <w:vAlign w:val="center"/>
            <w:hideMark/>
          </w:tcPr>
          <w:p w14:paraId="369ABD8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Actual load, load forecasts</w:t>
            </w:r>
          </w:p>
        </w:tc>
        <w:tc>
          <w:tcPr>
            <w:tcW w:w="909" w:type="dxa"/>
            <w:vAlign w:val="center"/>
            <w:hideMark/>
          </w:tcPr>
          <w:p w14:paraId="69666D70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 / 15-min</w:t>
            </w:r>
          </w:p>
        </w:tc>
        <w:tc>
          <w:tcPr>
            <w:tcW w:w="964" w:type="dxa"/>
            <w:vAlign w:val="center"/>
            <w:hideMark/>
          </w:tcPr>
          <w:p w14:paraId="198149C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</w:t>
            </w:r>
          </w:p>
        </w:tc>
        <w:tc>
          <w:tcPr>
            <w:tcW w:w="1028" w:type="dxa"/>
            <w:vAlign w:val="center"/>
            <w:hideMark/>
          </w:tcPr>
          <w:p w14:paraId="0FF7A32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</w:t>
            </w:r>
          </w:p>
        </w:tc>
        <w:tc>
          <w:tcPr>
            <w:tcW w:w="1053" w:type="dxa"/>
            <w:vAlign w:val="center"/>
            <w:hideMark/>
          </w:tcPr>
          <w:p w14:paraId="2A3A8C1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Key explanatory variable in price models</w:t>
            </w:r>
          </w:p>
        </w:tc>
      </w:tr>
    </w:tbl>
    <w:p w14:paraId="0E614822" w14:textId="77777777" w:rsidR="000E3759" w:rsidRPr="001A7DA4" w:rsidRDefault="000E3759">
      <w:pPr>
        <w:rPr>
          <w:lang w:val="en-DE"/>
        </w:rPr>
      </w:pPr>
    </w:p>
    <w:sectPr w:rsidR="000E3759" w:rsidRPr="001A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A4"/>
    <w:rsid w:val="000E3759"/>
    <w:rsid w:val="001A7DA4"/>
    <w:rsid w:val="007400DE"/>
    <w:rsid w:val="008B556A"/>
    <w:rsid w:val="00A77CC0"/>
    <w:rsid w:val="00C6567C"/>
    <w:rsid w:val="00CB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47E73"/>
  <w15:chartTrackingRefBased/>
  <w15:docId w15:val="{9314072A-C7F0-496B-918F-7F1ED639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A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A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A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A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A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A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A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A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A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A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A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A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A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A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A7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Hornok</dc:creator>
  <cp:keywords/>
  <dc:description/>
  <cp:lastModifiedBy>Cecilia Hornok</cp:lastModifiedBy>
  <cp:revision>1</cp:revision>
  <dcterms:created xsi:type="dcterms:W3CDTF">2026-03-08T18:54:00Z</dcterms:created>
  <dcterms:modified xsi:type="dcterms:W3CDTF">2026-03-08T19:32:00Z</dcterms:modified>
</cp:coreProperties>
</file>