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351"/>
        <w:gridCol w:w="1277"/>
        <w:gridCol w:w="1142"/>
        <w:gridCol w:w="939"/>
        <w:gridCol w:w="994"/>
        <w:gridCol w:w="1058"/>
        <w:gridCol w:w="1098"/>
      </w:tblGrid>
      <w:tr w:rsidR="001A7DA4" w:rsidRPr="001A7DA4" w14:paraId="25A97ED5" w14:textId="77777777" w:rsidTr="001A7DA4">
        <w:trPr>
          <w:tblHeader/>
          <w:tblCellSpacing w:w="15" w:type="dxa"/>
        </w:trPr>
        <w:tc>
          <w:tcPr>
            <w:tcW w:w="1122" w:type="dxa"/>
            <w:vAlign w:val="center"/>
            <w:hideMark/>
          </w:tcPr>
          <w:p w14:paraId="5D979AFE" w14:textId="77777777" w:rsidR="001A7DA4" w:rsidRPr="001A7DA4" w:rsidRDefault="001A7DA4" w:rsidP="001A7DA4">
            <w:pPr>
              <w:rPr>
                <w:b/>
                <w:bCs/>
                <w:lang w:val="en-DE"/>
              </w:rPr>
            </w:pPr>
            <w:r w:rsidRPr="001A7DA4">
              <w:rPr>
                <w:b/>
                <w:bCs/>
                <w:lang w:val="en-DE"/>
              </w:rPr>
              <w:t>Data Source</w:t>
            </w:r>
          </w:p>
        </w:tc>
        <w:tc>
          <w:tcPr>
            <w:tcW w:w="1321" w:type="dxa"/>
            <w:vAlign w:val="center"/>
            <w:hideMark/>
          </w:tcPr>
          <w:p w14:paraId="1C21E3C2" w14:textId="77777777" w:rsidR="001A7DA4" w:rsidRPr="001A7DA4" w:rsidRDefault="001A7DA4" w:rsidP="001A7DA4">
            <w:pPr>
              <w:rPr>
                <w:b/>
                <w:bCs/>
                <w:lang w:val="en-DE"/>
              </w:rPr>
            </w:pPr>
            <w:r w:rsidRPr="001A7DA4">
              <w:rPr>
                <w:b/>
                <w:bCs/>
                <w:lang w:val="en-DE"/>
              </w:rPr>
              <w:t>Provider</w:t>
            </w:r>
          </w:p>
        </w:tc>
        <w:tc>
          <w:tcPr>
            <w:tcW w:w="1247" w:type="dxa"/>
            <w:vAlign w:val="center"/>
            <w:hideMark/>
          </w:tcPr>
          <w:p w14:paraId="5B2B4904" w14:textId="77777777" w:rsidR="001A7DA4" w:rsidRPr="001A7DA4" w:rsidRDefault="001A7DA4" w:rsidP="001A7DA4">
            <w:pPr>
              <w:rPr>
                <w:b/>
                <w:bCs/>
                <w:lang w:val="en-DE"/>
              </w:rPr>
            </w:pPr>
            <w:r w:rsidRPr="001A7DA4">
              <w:rPr>
                <w:b/>
                <w:bCs/>
                <w:lang w:val="en-DE"/>
              </w:rPr>
              <w:t>Type of Data</w:t>
            </w:r>
          </w:p>
        </w:tc>
        <w:tc>
          <w:tcPr>
            <w:tcW w:w="1112" w:type="dxa"/>
            <w:vAlign w:val="center"/>
            <w:hideMark/>
          </w:tcPr>
          <w:p w14:paraId="269CF97E" w14:textId="77777777" w:rsidR="001A7DA4" w:rsidRPr="001A7DA4" w:rsidRDefault="001A7DA4" w:rsidP="001A7DA4">
            <w:pPr>
              <w:rPr>
                <w:b/>
                <w:bCs/>
                <w:lang w:val="en-DE"/>
              </w:rPr>
            </w:pPr>
            <w:r w:rsidRPr="001A7DA4">
              <w:rPr>
                <w:b/>
                <w:bCs/>
                <w:lang w:val="en-DE"/>
              </w:rPr>
              <w:t>Variables Available</w:t>
            </w:r>
          </w:p>
        </w:tc>
        <w:tc>
          <w:tcPr>
            <w:tcW w:w="909" w:type="dxa"/>
            <w:vAlign w:val="center"/>
            <w:hideMark/>
          </w:tcPr>
          <w:p w14:paraId="6F1C24D9" w14:textId="77777777" w:rsidR="001A7DA4" w:rsidRPr="001A7DA4" w:rsidRDefault="001A7DA4" w:rsidP="001A7DA4">
            <w:pPr>
              <w:rPr>
                <w:b/>
                <w:bCs/>
                <w:lang w:val="en-DE"/>
              </w:rPr>
            </w:pPr>
            <w:r w:rsidRPr="001A7DA4">
              <w:rPr>
                <w:b/>
                <w:bCs/>
                <w:lang w:val="en-DE"/>
              </w:rPr>
              <w:t>Temporal Resolution</w:t>
            </w:r>
          </w:p>
        </w:tc>
        <w:tc>
          <w:tcPr>
            <w:tcW w:w="964" w:type="dxa"/>
            <w:vAlign w:val="center"/>
            <w:hideMark/>
          </w:tcPr>
          <w:p w14:paraId="25BE7D03" w14:textId="77777777" w:rsidR="001A7DA4" w:rsidRPr="001A7DA4" w:rsidRDefault="001A7DA4" w:rsidP="001A7DA4">
            <w:pPr>
              <w:rPr>
                <w:b/>
                <w:bCs/>
                <w:lang w:val="en-DE"/>
              </w:rPr>
            </w:pPr>
            <w:r w:rsidRPr="001A7DA4">
              <w:rPr>
                <w:b/>
                <w:bCs/>
                <w:lang w:val="en-DE"/>
              </w:rPr>
              <w:t>Coverage</w:t>
            </w:r>
          </w:p>
        </w:tc>
        <w:tc>
          <w:tcPr>
            <w:tcW w:w="1028" w:type="dxa"/>
            <w:vAlign w:val="center"/>
            <w:hideMark/>
          </w:tcPr>
          <w:p w14:paraId="17CEB063" w14:textId="77777777" w:rsidR="001A7DA4" w:rsidRPr="001A7DA4" w:rsidRDefault="001A7DA4" w:rsidP="001A7DA4">
            <w:pPr>
              <w:rPr>
                <w:b/>
                <w:bCs/>
                <w:lang w:val="en-DE"/>
              </w:rPr>
            </w:pPr>
            <w:r w:rsidRPr="001A7DA4">
              <w:rPr>
                <w:b/>
                <w:bCs/>
                <w:lang w:val="en-DE"/>
              </w:rPr>
              <w:t>Access</w:t>
            </w:r>
          </w:p>
        </w:tc>
        <w:tc>
          <w:tcPr>
            <w:tcW w:w="1053" w:type="dxa"/>
            <w:vAlign w:val="center"/>
            <w:hideMark/>
          </w:tcPr>
          <w:p w14:paraId="6F5186B3" w14:textId="77777777" w:rsidR="001A7DA4" w:rsidRPr="001A7DA4" w:rsidRDefault="001A7DA4" w:rsidP="001A7DA4">
            <w:pPr>
              <w:rPr>
                <w:b/>
                <w:bCs/>
                <w:lang w:val="en-DE"/>
              </w:rPr>
            </w:pPr>
            <w:r w:rsidRPr="001A7DA4">
              <w:rPr>
                <w:b/>
                <w:bCs/>
                <w:lang w:val="en-DE"/>
              </w:rPr>
              <w:t>Typical Use in EPF</w:t>
            </w:r>
          </w:p>
        </w:tc>
      </w:tr>
      <w:tr w:rsidR="001A7DA4" w:rsidRPr="001A7DA4" w14:paraId="66734D87" w14:textId="77777777" w:rsidTr="001A7DA4">
        <w:trPr>
          <w:tblCellSpacing w:w="15" w:type="dxa"/>
        </w:trPr>
        <w:tc>
          <w:tcPr>
            <w:tcW w:w="1122" w:type="dxa"/>
            <w:vAlign w:val="center"/>
            <w:hideMark/>
          </w:tcPr>
          <w:p w14:paraId="72738A51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b/>
                <w:bCs/>
                <w:lang w:val="en-DE"/>
              </w:rPr>
              <w:t>Day-Ahead Market Data</w:t>
            </w:r>
          </w:p>
        </w:tc>
        <w:tc>
          <w:tcPr>
            <w:tcW w:w="1321" w:type="dxa"/>
            <w:vAlign w:val="center"/>
            <w:hideMark/>
          </w:tcPr>
          <w:p w14:paraId="558E3691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European Power Exchange (</w:t>
            </w:r>
            <w:r w:rsidRPr="001A7DA4">
              <w:rPr>
                <w:highlight w:val="yellow"/>
                <w:lang w:val="en-DE"/>
              </w:rPr>
              <w:t>EPEX SPOT</w:t>
            </w:r>
            <w:r w:rsidRPr="001A7DA4">
              <w:rPr>
                <w:lang w:val="en-DE"/>
              </w:rPr>
              <w:t>)</w:t>
            </w:r>
          </w:p>
        </w:tc>
        <w:tc>
          <w:tcPr>
            <w:tcW w:w="1247" w:type="dxa"/>
            <w:vAlign w:val="center"/>
            <w:hideMark/>
          </w:tcPr>
          <w:p w14:paraId="4BD03D4E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Electricity market prices</w:t>
            </w:r>
          </w:p>
        </w:tc>
        <w:tc>
          <w:tcPr>
            <w:tcW w:w="1112" w:type="dxa"/>
            <w:vAlign w:val="center"/>
            <w:hideMark/>
          </w:tcPr>
          <w:p w14:paraId="0ECCB101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highlight w:val="yellow"/>
                <w:lang w:val="en-DE"/>
              </w:rPr>
              <w:t>Day-ahead prices</w:t>
            </w:r>
            <w:r w:rsidRPr="001A7DA4">
              <w:rPr>
                <w:lang w:val="en-DE"/>
              </w:rPr>
              <w:t>, traded volumes</w:t>
            </w:r>
          </w:p>
        </w:tc>
        <w:tc>
          <w:tcPr>
            <w:tcW w:w="909" w:type="dxa"/>
            <w:vAlign w:val="center"/>
            <w:hideMark/>
          </w:tcPr>
          <w:p w14:paraId="5DAF3AC5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Hourly</w:t>
            </w:r>
          </w:p>
        </w:tc>
        <w:tc>
          <w:tcPr>
            <w:tcW w:w="964" w:type="dxa"/>
            <w:vAlign w:val="center"/>
            <w:hideMark/>
          </w:tcPr>
          <w:p w14:paraId="266E7561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Germany, France, Austria, Switzerland</w:t>
            </w:r>
          </w:p>
        </w:tc>
        <w:tc>
          <w:tcPr>
            <w:tcW w:w="1028" w:type="dxa"/>
            <w:vAlign w:val="center"/>
            <w:hideMark/>
          </w:tcPr>
          <w:p w14:paraId="7699CD99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Exchange / commercial</w:t>
            </w:r>
          </w:p>
        </w:tc>
        <w:tc>
          <w:tcPr>
            <w:tcW w:w="1053" w:type="dxa"/>
            <w:vAlign w:val="center"/>
            <w:hideMark/>
          </w:tcPr>
          <w:p w14:paraId="05714BBD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Primary target variable for most EPF models</w:t>
            </w:r>
          </w:p>
        </w:tc>
      </w:tr>
      <w:tr w:rsidR="001A7DA4" w:rsidRPr="001A7DA4" w14:paraId="6E731FA1" w14:textId="77777777" w:rsidTr="001A7DA4">
        <w:trPr>
          <w:tblCellSpacing w:w="15" w:type="dxa"/>
        </w:trPr>
        <w:tc>
          <w:tcPr>
            <w:tcW w:w="1122" w:type="dxa"/>
            <w:vAlign w:val="center"/>
            <w:hideMark/>
          </w:tcPr>
          <w:p w14:paraId="707212E6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b/>
                <w:bCs/>
                <w:lang w:val="en-DE"/>
              </w:rPr>
              <w:t>Intraday Market Data</w:t>
            </w:r>
          </w:p>
        </w:tc>
        <w:tc>
          <w:tcPr>
            <w:tcW w:w="1321" w:type="dxa"/>
            <w:vAlign w:val="center"/>
            <w:hideMark/>
          </w:tcPr>
          <w:p w14:paraId="634C001B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European Power Exchange (EPEX SPOT)</w:t>
            </w:r>
          </w:p>
        </w:tc>
        <w:tc>
          <w:tcPr>
            <w:tcW w:w="1247" w:type="dxa"/>
            <w:vAlign w:val="center"/>
            <w:hideMark/>
          </w:tcPr>
          <w:p w14:paraId="75AD0411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Electricity trading data</w:t>
            </w:r>
          </w:p>
        </w:tc>
        <w:tc>
          <w:tcPr>
            <w:tcW w:w="1112" w:type="dxa"/>
            <w:vAlign w:val="center"/>
            <w:hideMark/>
          </w:tcPr>
          <w:p w14:paraId="0981EE79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Intraday prices, trades, order book data</w:t>
            </w:r>
          </w:p>
        </w:tc>
        <w:tc>
          <w:tcPr>
            <w:tcW w:w="909" w:type="dxa"/>
            <w:vAlign w:val="center"/>
            <w:hideMark/>
          </w:tcPr>
          <w:p w14:paraId="58A659D1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15-min to hourly</w:t>
            </w:r>
          </w:p>
        </w:tc>
        <w:tc>
          <w:tcPr>
            <w:tcW w:w="964" w:type="dxa"/>
            <w:vAlign w:val="center"/>
            <w:hideMark/>
          </w:tcPr>
          <w:p w14:paraId="00D09A2B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Central Europe</w:t>
            </w:r>
          </w:p>
        </w:tc>
        <w:tc>
          <w:tcPr>
            <w:tcW w:w="1028" w:type="dxa"/>
            <w:vAlign w:val="center"/>
            <w:hideMark/>
          </w:tcPr>
          <w:p w14:paraId="5DB72508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Exchange / commercial</w:t>
            </w:r>
          </w:p>
        </w:tc>
        <w:tc>
          <w:tcPr>
            <w:tcW w:w="1053" w:type="dxa"/>
            <w:vAlign w:val="center"/>
            <w:hideMark/>
          </w:tcPr>
          <w:p w14:paraId="561493B3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Intraday forecasting and trading strategy models</w:t>
            </w:r>
          </w:p>
        </w:tc>
      </w:tr>
      <w:tr w:rsidR="001A7DA4" w:rsidRPr="001A7DA4" w14:paraId="6800EBA2" w14:textId="77777777" w:rsidTr="001A7DA4">
        <w:trPr>
          <w:tblCellSpacing w:w="15" w:type="dxa"/>
        </w:trPr>
        <w:tc>
          <w:tcPr>
            <w:tcW w:w="1122" w:type="dxa"/>
            <w:vAlign w:val="center"/>
            <w:hideMark/>
          </w:tcPr>
          <w:p w14:paraId="51914904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b/>
                <w:bCs/>
                <w:lang w:val="en-DE"/>
              </w:rPr>
              <w:t>Transparency Platform</w:t>
            </w:r>
          </w:p>
        </w:tc>
        <w:tc>
          <w:tcPr>
            <w:tcW w:w="1321" w:type="dxa"/>
            <w:vAlign w:val="center"/>
            <w:hideMark/>
          </w:tcPr>
          <w:p w14:paraId="4DAAFD16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highlight w:val="yellow"/>
                <w:lang w:val="en-DE"/>
              </w:rPr>
              <w:t>ENTSO-E</w:t>
            </w:r>
          </w:p>
        </w:tc>
        <w:tc>
          <w:tcPr>
            <w:tcW w:w="1247" w:type="dxa"/>
            <w:vAlign w:val="center"/>
            <w:hideMark/>
          </w:tcPr>
          <w:p w14:paraId="33BC1EA4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Power system fundamentals</w:t>
            </w:r>
          </w:p>
        </w:tc>
        <w:tc>
          <w:tcPr>
            <w:tcW w:w="1112" w:type="dxa"/>
            <w:vAlign w:val="center"/>
            <w:hideMark/>
          </w:tcPr>
          <w:p w14:paraId="52F057C3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highlight w:val="yellow"/>
                <w:lang w:val="en-DE"/>
              </w:rPr>
              <w:t>Load, generation by type, cross-border flows, outages</w:t>
            </w:r>
          </w:p>
        </w:tc>
        <w:tc>
          <w:tcPr>
            <w:tcW w:w="909" w:type="dxa"/>
            <w:vAlign w:val="center"/>
            <w:hideMark/>
          </w:tcPr>
          <w:p w14:paraId="6963BA0A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15-min / hourly</w:t>
            </w:r>
          </w:p>
        </w:tc>
        <w:tc>
          <w:tcPr>
            <w:tcW w:w="964" w:type="dxa"/>
            <w:vAlign w:val="center"/>
            <w:hideMark/>
          </w:tcPr>
          <w:p w14:paraId="31E5088C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All European markets</w:t>
            </w:r>
          </w:p>
        </w:tc>
        <w:tc>
          <w:tcPr>
            <w:tcW w:w="1028" w:type="dxa"/>
            <w:vAlign w:val="center"/>
            <w:hideMark/>
          </w:tcPr>
          <w:p w14:paraId="3A85A073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Free API</w:t>
            </w:r>
          </w:p>
        </w:tc>
        <w:tc>
          <w:tcPr>
            <w:tcW w:w="1053" w:type="dxa"/>
            <w:vAlign w:val="center"/>
            <w:hideMark/>
          </w:tcPr>
          <w:p w14:paraId="33694175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Core explanatory variables in ML forecasting models</w:t>
            </w:r>
          </w:p>
        </w:tc>
      </w:tr>
      <w:tr w:rsidR="001A7DA4" w:rsidRPr="001A7DA4" w14:paraId="4D82418E" w14:textId="77777777" w:rsidTr="001A7DA4">
        <w:trPr>
          <w:tblCellSpacing w:w="15" w:type="dxa"/>
        </w:trPr>
        <w:tc>
          <w:tcPr>
            <w:tcW w:w="1122" w:type="dxa"/>
            <w:vAlign w:val="center"/>
            <w:hideMark/>
          </w:tcPr>
          <w:p w14:paraId="065CA6A8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b/>
                <w:bCs/>
                <w:lang w:val="en-DE"/>
              </w:rPr>
              <w:t>German TSO Open Data</w:t>
            </w:r>
          </w:p>
        </w:tc>
        <w:tc>
          <w:tcPr>
            <w:tcW w:w="1321" w:type="dxa"/>
            <w:vAlign w:val="center"/>
            <w:hideMark/>
          </w:tcPr>
          <w:p w14:paraId="2B7237BA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 xml:space="preserve">50Hertz Transmission GmbH, </w:t>
            </w:r>
            <w:proofErr w:type="spellStart"/>
            <w:r w:rsidRPr="001A7DA4">
              <w:rPr>
                <w:lang w:val="en-DE"/>
              </w:rPr>
              <w:t>Amprion</w:t>
            </w:r>
            <w:proofErr w:type="spellEnd"/>
            <w:r w:rsidRPr="001A7DA4">
              <w:rPr>
                <w:lang w:val="en-DE"/>
              </w:rPr>
              <w:t xml:space="preserve">, </w:t>
            </w:r>
            <w:proofErr w:type="spellStart"/>
            <w:r w:rsidRPr="001A7DA4">
              <w:rPr>
                <w:lang w:val="en-DE"/>
              </w:rPr>
              <w:t>TenneT</w:t>
            </w:r>
            <w:proofErr w:type="spellEnd"/>
            <w:r w:rsidRPr="001A7DA4">
              <w:rPr>
                <w:lang w:val="en-DE"/>
              </w:rPr>
              <w:t xml:space="preserve">, </w:t>
            </w:r>
            <w:proofErr w:type="spellStart"/>
            <w:r w:rsidRPr="001A7DA4">
              <w:rPr>
                <w:lang w:val="en-DE"/>
              </w:rPr>
              <w:t>TransnetBW</w:t>
            </w:r>
            <w:proofErr w:type="spellEnd"/>
          </w:p>
        </w:tc>
        <w:tc>
          <w:tcPr>
            <w:tcW w:w="1247" w:type="dxa"/>
            <w:vAlign w:val="center"/>
            <w:hideMark/>
          </w:tcPr>
          <w:p w14:paraId="57D092FD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Power system data</w:t>
            </w:r>
          </w:p>
        </w:tc>
        <w:tc>
          <w:tcPr>
            <w:tcW w:w="1112" w:type="dxa"/>
            <w:vAlign w:val="center"/>
            <w:hideMark/>
          </w:tcPr>
          <w:p w14:paraId="77A3EB7E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Renewable generation, grid load, balancing energy</w:t>
            </w:r>
          </w:p>
        </w:tc>
        <w:tc>
          <w:tcPr>
            <w:tcW w:w="909" w:type="dxa"/>
            <w:vAlign w:val="center"/>
            <w:hideMark/>
          </w:tcPr>
          <w:p w14:paraId="668E3D14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15-min</w:t>
            </w:r>
          </w:p>
        </w:tc>
        <w:tc>
          <w:tcPr>
            <w:tcW w:w="964" w:type="dxa"/>
            <w:vAlign w:val="center"/>
            <w:hideMark/>
          </w:tcPr>
          <w:p w14:paraId="79CA0F4A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Germany</w:t>
            </w:r>
          </w:p>
        </w:tc>
        <w:tc>
          <w:tcPr>
            <w:tcW w:w="1028" w:type="dxa"/>
            <w:vAlign w:val="center"/>
            <w:hideMark/>
          </w:tcPr>
          <w:p w14:paraId="57B980B8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Free</w:t>
            </w:r>
          </w:p>
        </w:tc>
        <w:tc>
          <w:tcPr>
            <w:tcW w:w="1053" w:type="dxa"/>
            <w:vAlign w:val="center"/>
            <w:hideMark/>
          </w:tcPr>
          <w:p w14:paraId="028BEFFC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High-resolution renewable and grid data</w:t>
            </w:r>
          </w:p>
        </w:tc>
      </w:tr>
      <w:tr w:rsidR="001A7DA4" w:rsidRPr="001A7DA4" w14:paraId="25264EDA" w14:textId="77777777" w:rsidTr="001A7DA4">
        <w:trPr>
          <w:tblCellSpacing w:w="15" w:type="dxa"/>
        </w:trPr>
        <w:tc>
          <w:tcPr>
            <w:tcW w:w="1122" w:type="dxa"/>
            <w:vAlign w:val="center"/>
            <w:hideMark/>
          </w:tcPr>
          <w:p w14:paraId="1919C878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b/>
                <w:bCs/>
                <w:lang w:val="en-DE"/>
              </w:rPr>
              <w:t>Open Power System Data (OPSD)</w:t>
            </w:r>
          </w:p>
        </w:tc>
        <w:tc>
          <w:tcPr>
            <w:tcW w:w="1321" w:type="dxa"/>
            <w:vAlign w:val="center"/>
            <w:hideMark/>
          </w:tcPr>
          <w:p w14:paraId="0D2C72F2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highlight w:val="yellow"/>
                <w:lang w:val="en-DE"/>
              </w:rPr>
              <w:t>Open Power System Data</w:t>
            </w:r>
          </w:p>
        </w:tc>
        <w:tc>
          <w:tcPr>
            <w:tcW w:w="1247" w:type="dxa"/>
            <w:vAlign w:val="center"/>
            <w:hideMark/>
          </w:tcPr>
          <w:p w14:paraId="7D426F19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Aggregated energy dataset</w:t>
            </w:r>
          </w:p>
        </w:tc>
        <w:tc>
          <w:tcPr>
            <w:tcW w:w="1112" w:type="dxa"/>
            <w:vAlign w:val="center"/>
            <w:hideMark/>
          </w:tcPr>
          <w:p w14:paraId="78AD1355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Electricity prices, load, renewable generation, weather</w:t>
            </w:r>
          </w:p>
        </w:tc>
        <w:tc>
          <w:tcPr>
            <w:tcW w:w="909" w:type="dxa"/>
            <w:vAlign w:val="center"/>
            <w:hideMark/>
          </w:tcPr>
          <w:p w14:paraId="22CB8A75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Hourly</w:t>
            </w:r>
          </w:p>
        </w:tc>
        <w:tc>
          <w:tcPr>
            <w:tcW w:w="964" w:type="dxa"/>
            <w:vAlign w:val="center"/>
            <w:hideMark/>
          </w:tcPr>
          <w:p w14:paraId="758B779A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Europe (focus Germany)</w:t>
            </w:r>
          </w:p>
        </w:tc>
        <w:tc>
          <w:tcPr>
            <w:tcW w:w="1028" w:type="dxa"/>
            <w:vAlign w:val="center"/>
            <w:hideMark/>
          </w:tcPr>
          <w:p w14:paraId="02784BA1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Free</w:t>
            </w:r>
          </w:p>
        </w:tc>
        <w:tc>
          <w:tcPr>
            <w:tcW w:w="1053" w:type="dxa"/>
            <w:vAlign w:val="center"/>
            <w:hideMark/>
          </w:tcPr>
          <w:p w14:paraId="5BFA1C8E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Clean benchmark dataset widely used in research</w:t>
            </w:r>
          </w:p>
        </w:tc>
      </w:tr>
      <w:tr w:rsidR="001A7DA4" w:rsidRPr="001A7DA4" w14:paraId="1E66F409" w14:textId="77777777" w:rsidTr="001A7DA4">
        <w:trPr>
          <w:tblCellSpacing w:w="15" w:type="dxa"/>
        </w:trPr>
        <w:tc>
          <w:tcPr>
            <w:tcW w:w="1122" w:type="dxa"/>
            <w:vAlign w:val="center"/>
            <w:hideMark/>
          </w:tcPr>
          <w:p w14:paraId="49ABD4D1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b/>
                <w:bCs/>
                <w:lang w:val="en-DE"/>
              </w:rPr>
              <w:t>Weather Forecast Data</w:t>
            </w:r>
          </w:p>
        </w:tc>
        <w:tc>
          <w:tcPr>
            <w:tcW w:w="1321" w:type="dxa"/>
            <w:vAlign w:val="center"/>
            <w:hideMark/>
          </w:tcPr>
          <w:p w14:paraId="601024AC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European Centre for Medium-Range Weather Forecasts</w:t>
            </w:r>
          </w:p>
        </w:tc>
        <w:tc>
          <w:tcPr>
            <w:tcW w:w="1247" w:type="dxa"/>
            <w:vAlign w:val="center"/>
            <w:hideMark/>
          </w:tcPr>
          <w:p w14:paraId="665BD703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Meteorological data</w:t>
            </w:r>
          </w:p>
        </w:tc>
        <w:tc>
          <w:tcPr>
            <w:tcW w:w="1112" w:type="dxa"/>
            <w:vAlign w:val="center"/>
            <w:hideMark/>
          </w:tcPr>
          <w:p w14:paraId="6C5489F2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Temperature, wind speed, solar radiation, pressure</w:t>
            </w:r>
          </w:p>
        </w:tc>
        <w:tc>
          <w:tcPr>
            <w:tcW w:w="909" w:type="dxa"/>
            <w:vAlign w:val="center"/>
            <w:hideMark/>
          </w:tcPr>
          <w:p w14:paraId="023CEC6C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Hourly / daily</w:t>
            </w:r>
          </w:p>
        </w:tc>
        <w:tc>
          <w:tcPr>
            <w:tcW w:w="964" w:type="dxa"/>
            <w:vAlign w:val="center"/>
            <w:hideMark/>
          </w:tcPr>
          <w:p w14:paraId="7646A719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Global</w:t>
            </w:r>
          </w:p>
        </w:tc>
        <w:tc>
          <w:tcPr>
            <w:tcW w:w="1028" w:type="dxa"/>
            <w:vAlign w:val="center"/>
            <w:hideMark/>
          </w:tcPr>
          <w:p w14:paraId="0F856F4F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Subscription / research access</w:t>
            </w:r>
          </w:p>
        </w:tc>
        <w:tc>
          <w:tcPr>
            <w:tcW w:w="1053" w:type="dxa"/>
            <w:vAlign w:val="center"/>
            <w:hideMark/>
          </w:tcPr>
          <w:p w14:paraId="0D0BF29C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Renewable generation and demand forecasting</w:t>
            </w:r>
          </w:p>
        </w:tc>
      </w:tr>
      <w:tr w:rsidR="001A7DA4" w:rsidRPr="001A7DA4" w14:paraId="0117EC45" w14:textId="77777777" w:rsidTr="001A7DA4">
        <w:trPr>
          <w:tblCellSpacing w:w="15" w:type="dxa"/>
        </w:trPr>
        <w:tc>
          <w:tcPr>
            <w:tcW w:w="1122" w:type="dxa"/>
            <w:vAlign w:val="center"/>
            <w:hideMark/>
          </w:tcPr>
          <w:p w14:paraId="6EACBAEF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b/>
                <w:bCs/>
                <w:lang w:val="en-DE"/>
              </w:rPr>
              <w:t>Climate Reanalysis Data</w:t>
            </w:r>
          </w:p>
        </w:tc>
        <w:tc>
          <w:tcPr>
            <w:tcW w:w="1321" w:type="dxa"/>
            <w:vAlign w:val="center"/>
            <w:hideMark/>
          </w:tcPr>
          <w:p w14:paraId="738C4F78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Copernicus Climate Change Service</w:t>
            </w:r>
          </w:p>
        </w:tc>
        <w:tc>
          <w:tcPr>
            <w:tcW w:w="1247" w:type="dxa"/>
            <w:vAlign w:val="center"/>
            <w:hideMark/>
          </w:tcPr>
          <w:p w14:paraId="68D1971E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Historical weather data</w:t>
            </w:r>
          </w:p>
        </w:tc>
        <w:tc>
          <w:tcPr>
            <w:tcW w:w="1112" w:type="dxa"/>
            <w:vAlign w:val="center"/>
            <w:hideMark/>
          </w:tcPr>
          <w:p w14:paraId="4B9F42B9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 xml:space="preserve">Wind speed, irradiance, </w:t>
            </w:r>
            <w:r w:rsidRPr="001A7DA4">
              <w:rPr>
                <w:lang w:val="en-DE"/>
              </w:rPr>
              <w:lastRenderedPageBreak/>
              <w:t>temperature</w:t>
            </w:r>
          </w:p>
        </w:tc>
        <w:tc>
          <w:tcPr>
            <w:tcW w:w="909" w:type="dxa"/>
            <w:vAlign w:val="center"/>
            <w:hideMark/>
          </w:tcPr>
          <w:p w14:paraId="37CF9178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lastRenderedPageBreak/>
              <w:t>Hourly</w:t>
            </w:r>
          </w:p>
        </w:tc>
        <w:tc>
          <w:tcPr>
            <w:tcW w:w="964" w:type="dxa"/>
            <w:vAlign w:val="center"/>
            <w:hideMark/>
          </w:tcPr>
          <w:p w14:paraId="310C6F67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Global</w:t>
            </w:r>
          </w:p>
        </w:tc>
        <w:tc>
          <w:tcPr>
            <w:tcW w:w="1028" w:type="dxa"/>
            <w:vAlign w:val="center"/>
            <w:hideMark/>
          </w:tcPr>
          <w:p w14:paraId="451A8ED8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Free (research)</w:t>
            </w:r>
          </w:p>
        </w:tc>
        <w:tc>
          <w:tcPr>
            <w:tcW w:w="1053" w:type="dxa"/>
            <w:vAlign w:val="center"/>
            <w:hideMark/>
          </w:tcPr>
          <w:p w14:paraId="26E6D8CD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Historical weather input for ML models</w:t>
            </w:r>
          </w:p>
        </w:tc>
      </w:tr>
      <w:tr w:rsidR="001A7DA4" w:rsidRPr="001A7DA4" w14:paraId="08AA2F3F" w14:textId="77777777" w:rsidTr="001A7DA4">
        <w:trPr>
          <w:tblCellSpacing w:w="15" w:type="dxa"/>
        </w:trPr>
        <w:tc>
          <w:tcPr>
            <w:tcW w:w="1122" w:type="dxa"/>
            <w:vAlign w:val="center"/>
            <w:hideMark/>
          </w:tcPr>
          <w:p w14:paraId="0DCFC499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b/>
                <w:bCs/>
                <w:lang w:val="en-DE"/>
              </w:rPr>
              <w:t>Electricity Futures Data</w:t>
            </w:r>
          </w:p>
        </w:tc>
        <w:tc>
          <w:tcPr>
            <w:tcW w:w="1321" w:type="dxa"/>
            <w:vAlign w:val="center"/>
            <w:hideMark/>
          </w:tcPr>
          <w:p w14:paraId="76B5D787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European Energy Exchange</w:t>
            </w:r>
          </w:p>
        </w:tc>
        <w:tc>
          <w:tcPr>
            <w:tcW w:w="1247" w:type="dxa"/>
            <w:vAlign w:val="center"/>
            <w:hideMark/>
          </w:tcPr>
          <w:p w14:paraId="391A595B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Power derivatives</w:t>
            </w:r>
          </w:p>
        </w:tc>
        <w:tc>
          <w:tcPr>
            <w:tcW w:w="1112" w:type="dxa"/>
            <w:vAlign w:val="center"/>
            <w:hideMark/>
          </w:tcPr>
          <w:p w14:paraId="42E2CB4E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Futures prices for power delivery</w:t>
            </w:r>
          </w:p>
        </w:tc>
        <w:tc>
          <w:tcPr>
            <w:tcW w:w="909" w:type="dxa"/>
            <w:vAlign w:val="center"/>
            <w:hideMark/>
          </w:tcPr>
          <w:p w14:paraId="119E419C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Daily</w:t>
            </w:r>
          </w:p>
        </w:tc>
        <w:tc>
          <w:tcPr>
            <w:tcW w:w="964" w:type="dxa"/>
            <w:vAlign w:val="center"/>
            <w:hideMark/>
          </w:tcPr>
          <w:p w14:paraId="7F47C214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Europe</w:t>
            </w:r>
          </w:p>
        </w:tc>
        <w:tc>
          <w:tcPr>
            <w:tcW w:w="1028" w:type="dxa"/>
            <w:vAlign w:val="center"/>
            <w:hideMark/>
          </w:tcPr>
          <w:p w14:paraId="7EED733F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Commercial</w:t>
            </w:r>
          </w:p>
        </w:tc>
        <w:tc>
          <w:tcPr>
            <w:tcW w:w="1053" w:type="dxa"/>
            <w:vAlign w:val="center"/>
            <w:hideMark/>
          </w:tcPr>
          <w:p w14:paraId="766B2CFF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Long-term electricity price expectations</w:t>
            </w:r>
          </w:p>
        </w:tc>
      </w:tr>
      <w:tr w:rsidR="001A7DA4" w:rsidRPr="001A7DA4" w14:paraId="6299326A" w14:textId="77777777" w:rsidTr="001A7DA4">
        <w:trPr>
          <w:tblCellSpacing w:w="15" w:type="dxa"/>
        </w:trPr>
        <w:tc>
          <w:tcPr>
            <w:tcW w:w="1122" w:type="dxa"/>
            <w:vAlign w:val="center"/>
            <w:hideMark/>
          </w:tcPr>
          <w:p w14:paraId="03E33A10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b/>
                <w:bCs/>
                <w:lang w:val="en-DE"/>
              </w:rPr>
              <w:t>Fuel Market Data</w:t>
            </w:r>
          </w:p>
        </w:tc>
        <w:tc>
          <w:tcPr>
            <w:tcW w:w="1321" w:type="dxa"/>
            <w:vAlign w:val="center"/>
            <w:hideMark/>
          </w:tcPr>
          <w:p w14:paraId="3F3737CD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Intercontinental Exchange</w:t>
            </w:r>
          </w:p>
        </w:tc>
        <w:tc>
          <w:tcPr>
            <w:tcW w:w="1247" w:type="dxa"/>
            <w:vAlign w:val="center"/>
            <w:hideMark/>
          </w:tcPr>
          <w:p w14:paraId="446491F5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Commodity market data</w:t>
            </w:r>
          </w:p>
        </w:tc>
        <w:tc>
          <w:tcPr>
            <w:tcW w:w="1112" w:type="dxa"/>
            <w:vAlign w:val="center"/>
            <w:hideMark/>
          </w:tcPr>
          <w:p w14:paraId="61403FB7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Gas prices, coal prices</w:t>
            </w:r>
          </w:p>
        </w:tc>
        <w:tc>
          <w:tcPr>
            <w:tcW w:w="909" w:type="dxa"/>
            <w:vAlign w:val="center"/>
            <w:hideMark/>
          </w:tcPr>
          <w:p w14:paraId="78D935E8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Daily</w:t>
            </w:r>
          </w:p>
        </w:tc>
        <w:tc>
          <w:tcPr>
            <w:tcW w:w="964" w:type="dxa"/>
            <w:vAlign w:val="center"/>
            <w:hideMark/>
          </w:tcPr>
          <w:p w14:paraId="3FF5EABC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Global</w:t>
            </w:r>
          </w:p>
        </w:tc>
        <w:tc>
          <w:tcPr>
            <w:tcW w:w="1028" w:type="dxa"/>
            <w:vAlign w:val="center"/>
            <w:hideMark/>
          </w:tcPr>
          <w:p w14:paraId="583B0609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Commercial</w:t>
            </w:r>
          </w:p>
        </w:tc>
        <w:tc>
          <w:tcPr>
            <w:tcW w:w="1053" w:type="dxa"/>
            <w:vAlign w:val="center"/>
            <w:hideMark/>
          </w:tcPr>
          <w:p w14:paraId="6B637C01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Marginal generation cost predictors</w:t>
            </w:r>
          </w:p>
        </w:tc>
      </w:tr>
      <w:tr w:rsidR="001A7DA4" w:rsidRPr="001A7DA4" w14:paraId="7EDEBA86" w14:textId="77777777" w:rsidTr="001A7DA4">
        <w:trPr>
          <w:tblCellSpacing w:w="15" w:type="dxa"/>
        </w:trPr>
        <w:tc>
          <w:tcPr>
            <w:tcW w:w="1122" w:type="dxa"/>
            <w:vAlign w:val="center"/>
            <w:hideMark/>
          </w:tcPr>
          <w:p w14:paraId="2A2FF6AF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b/>
                <w:bCs/>
                <w:lang w:val="en-DE"/>
              </w:rPr>
              <w:t>Carbon Market Data</w:t>
            </w:r>
          </w:p>
        </w:tc>
        <w:tc>
          <w:tcPr>
            <w:tcW w:w="1321" w:type="dxa"/>
            <w:vAlign w:val="center"/>
            <w:hideMark/>
          </w:tcPr>
          <w:p w14:paraId="0D1759D0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European Union Emissions Trading System</w:t>
            </w:r>
          </w:p>
        </w:tc>
        <w:tc>
          <w:tcPr>
            <w:tcW w:w="1247" w:type="dxa"/>
            <w:vAlign w:val="center"/>
            <w:hideMark/>
          </w:tcPr>
          <w:p w14:paraId="53DD49EB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Carbon allowance prices</w:t>
            </w:r>
          </w:p>
        </w:tc>
        <w:tc>
          <w:tcPr>
            <w:tcW w:w="1112" w:type="dxa"/>
            <w:vAlign w:val="center"/>
            <w:hideMark/>
          </w:tcPr>
          <w:p w14:paraId="6B698F8A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EU ETS CO₂ prices</w:t>
            </w:r>
          </w:p>
        </w:tc>
        <w:tc>
          <w:tcPr>
            <w:tcW w:w="909" w:type="dxa"/>
            <w:vAlign w:val="center"/>
            <w:hideMark/>
          </w:tcPr>
          <w:p w14:paraId="4BB492CC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Daily</w:t>
            </w:r>
          </w:p>
        </w:tc>
        <w:tc>
          <w:tcPr>
            <w:tcW w:w="964" w:type="dxa"/>
            <w:vAlign w:val="center"/>
            <w:hideMark/>
          </w:tcPr>
          <w:p w14:paraId="69708B13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Europe</w:t>
            </w:r>
          </w:p>
        </w:tc>
        <w:tc>
          <w:tcPr>
            <w:tcW w:w="1028" w:type="dxa"/>
            <w:vAlign w:val="center"/>
            <w:hideMark/>
          </w:tcPr>
          <w:p w14:paraId="1D94587B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Public / exchange data</w:t>
            </w:r>
          </w:p>
        </w:tc>
        <w:tc>
          <w:tcPr>
            <w:tcW w:w="1053" w:type="dxa"/>
            <w:vAlign w:val="center"/>
            <w:hideMark/>
          </w:tcPr>
          <w:p w14:paraId="5F1334D5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Important driver of electricity prices</w:t>
            </w:r>
          </w:p>
        </w:tc>
      </w:tr>
      <w:tr w:rsidR="001A7DA4" w:rsidRPr="001A7DA4" w14:paraId="231D63C4" w14:textId="77777777" w:rsidTr="001A7DA4">
        <w:trPr>
          <w:tblCellSpacing w:w="15" w:type="dxa"/>
        </w:trPr>
        <w:tc>
          <w:tcPr>
            <w:tcW w:w="1122" w:type="dxa"/>
            <w:vAlign w:val="center"/>
            <w:hideMark/>
          </w:tcPr>
          <w:p w14:paraId="41A69D24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b/>
                <w:bCs/>
                <w:lang w:val="en-DE"/>
              </w:rPr>
              <w:t>Electricity Load Data</w:t>
            </w:r>
          </w:p>
        </w:tc>
        <w:tc>
          <w:tcPr>
            <w:tcW w:w="1321" w:type="dxa"/>
            <w:vAlign w:val="center"/>
            <w:hideMark/>
          </w:tcPr>
          <w:p w14:paraId="2FE74EA9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 xml:space="preserve">ENTSO-E / </w:t>
            </w:r>
            <w:proofErr w:type="spellStart"/>
            <w:r w:rsidRPr="001A7DA4">
              <w:rPr>
                <w:lang w:val="en-DE"/>
              </w:rPr>
              <w:t>TSOs</w:t>
            </w:r>
            <w:proofErr w:type="spellEnd"/>
          </w:p>
        </w:tc>
        <w:tc>
          <w:tcPr>
            <w:tcW w:w="1247" w:type="dxa"/>
            <w:vAlign w:val="center"/>
            <w:hideMark/>
          </w:tcPr>
          <w:p w14:paraId="57C18867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Demand data</w:t>
            </w:r>
          </w:p>
        </w:tc>
        <w:tc>
          <w:tcPr>
            <w:tcW w:w="1112" w:type="dxa"/>
            <w:vAlign w:val="center"/>
            <w:hideMark/>
          </w:tcPr>
          <w:p w14:paraId="369ABD8C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Actual load, load forecasts</w:t>
            </w:r>
          </w:p>
        </w:tc>
        <w:tc>
          <w:tcPr>
            <w:tcW w:w="909" w:type="dxa"/>
            <w:vAlign w:val="center"/>
            <w:hideMark/>
          </w:tcPr>
          <w:p w14:paraId="69666D70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Hourly / 15-min</w:t>
            </w:r>
          </w:p>
        </w:tc>
        <w:tc>
          <w:tcPr>
            <w:tcW w:w="964" w:type="dxa"/>
            <w:vAlign w:val="center"/>
            <w:hideMark/>
          </w:tcPr>
          <w:p w14:paraId="198149C4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Europe</w:t>
            </w:r>
          </w:p>
        </w:tc>
        <w:tc>
          <w:tcPr>
            <w:tcW w:w="1028" w:type="dxa"/>
            <w:vAlign w:val="center"/>
            <w:hideMark/>
          </w:tcPr>
          <w:p w14:paraId="0FF7A325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Free</w:t>
            </w:r>
          </w:p>
        </w:tc>
        <w:tc>
          <w:tcPr>
            <w:tcW w:w="1053" w:type="dxa"/>
            <w:vAlign w:val="center"/>
            <w:hideMark/>
          </w:tcPr>
          <w:p w14:paraId="2A3A8C19" w14:textId="77777777" w:rsidR="001A7DA4" w:rsidRPr="001A7DA4" w:rsidRDefault="001A7DA4" w:rsidP="001A7DA4">
            <w:pPr>
              <w:rPr>
                <w:lang w:val="en-DE"/>
              </w:rPr>
            </w:pPr>
            <w:r w:rsidRPr="001A7DA4">
              <w:rPr>
                <w:lang w:val="en-DE"/>
              </w:rPr>
              <w:t>Key explanatory variable in price models</w:t>
            </w:r>
          </w:p>
        </w:tc>
      </w:tr>
    </w:tbl>
    <w:p w14:paraId="0E614822" w14:textId="77777777" w:rsidR="000E3759" w:rsidRPr="001A7DA4" w:rsidRDefault="000E3759">
      <w:pPr>
        <w:rPr>
          <w:lang w:val="en-DE"/>
        </w:rPr>
      </w:pPr>
    </w:p>
    <w:sectPr w:rsidR="000E3759" w:rsidRPr="001A7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DA4"/>
    <w:rsid w:val="000E3759"/>
    <w:rsid w:val="001A7DA4"/>
    <w:rsid w:val="007400DE"/>
    <w:rsid w:val="008B556A"/>
    <w:rsid w:val="00A26BC6"/>
    <w:rsid w:val="00A77CC0"/>
    <w:rsid w:val="00C6567C"/>
    <w:rsid w:val="00CB2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647E73"/>
  <w15:chartTrackingRefBased/>
  <w15:docId w15:val="{9314072A-C7F0-496B-918F-7F1ED639E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7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DA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DA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DA4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DA4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DA4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DA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DA4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DA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DA4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A7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DA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DA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A7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DA4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A7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D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DA4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A7D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Hornok</dc:creator>
  <cp:keywords/>
  <dc:description/>
  <cp:lastModifiedBy>Cecilia Hornok</cp:lastModifiedBy>
  <cp:revision>2</cp:revision>
  <dcterms:created xsi:type="dcterms:W3CDTF">2026-03-09T14:07:00Z</dcterms:created>
  <dcterms:modified xsi:type="dcterms:W3CDTF">2026-03-09T14:07:00Z</dcterms:modified>
</cp:coreProperties>
</file>