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drawing>
          <wp:inline xmlns:a="http://schemas.openxmlformats.org/drawingml/2006/main" xmlns:pic="http://schemas.openxmlformats.org/drawingml/2006/picture">
            <wp:extent cx="1188720" cy="1529208"/>
            <wp:docPr id="1" name="Picture 1"/>
            <wp:cNvGraphicFramePr>
              <a:graphicFrameLocks noChangeAspect="1"/>
            </wp:cNvGraphicFramePr>
            <a:graphic>
              <a:graphicData uri="http://schemas.openxmlformats.org/drawingml/2006/picture">
                <pic:pic>
                  <pic:nvPicPr>
                    <pic:cNvPr id="0" name="annida-logo.jpg"/>
                    <pic:cNvPicPr/>
                  </pic:nvPicPr>
                  <pic:blipFill>
                    <a:blip r:embed="rId9"/>
                    <a:stretch>
                      <a:fillRect/>
                    </a:stretch>
                  </pic:blipFill>
                  <pic:spPr>
                    <a:xfrm>
                      <a:off x="0" y="0"/>
                      <a:ext cx="1188720" cy="1529208"/>
                    </a:xfrm>
                    <a:prstGeom prst="rect"/>
                  </pic:spPr>
                </pic:pic>
              </a:graphicData>
            </a:graphic>
          </wp:inline>
        </w:drawing>
      </w:r>
    </w:p>
    <w:p>
      <w:pPr>
        <w:spacing w:before="720" w:after="120"/>
        <w:jc w:val="center"/>
      </w:pPr>
      <w:r>
        <w:rPr>
          <w:rFonts w:ascii="Calibri" w:hAnsi="Calibri"/>
          <w:b/>
          <w:color w:val="0F764D"/>
          <w:sz w:val="48"/>
        </w:rPr>
        <w:t>DOKUMEN SPESIFIKASI TEKNIS &amp; ARSITEKTUR PERANGKAT LUNAK (SAD)</w:t>
        <w:br/>
        <w:t>SIP-MAPEL v2.0 PRO</w:t>
      </w:r>
    </w:p>
    <w:p>
      <w:pPr>
        <w:spacing w:before="0" w:after="480"/>
        <w:jc w:val="center"/>
      </w:pPr>
      <w:r>
        <w:rPr>
          <w:rFonts w:ascii="Calibri" w:hAnsi="Calibri"/>
          <w:i/>
          <w:color w:val="64748B"/>
          <w:sz w:val="26"/>
        </w:rPr>
        <w:t>Software Architecture Document &amp; Technical Requirements Aligned with Agile Framework</w:t>
        <w:br/>
        <w:t>Sistem Informasi Penjadwalan Pelajaran Berbasis Web Berperforma Tinggi</w:t>
      </w:r>
    </w:p>
    <w:tbl>
      <w:tblPr>
        <w:tblW w:type="auto" w:w="0"/>
        <w:jc w:val="center"/>
        <w:tblLayout w:type="fixed"/>
        <w:tblLook w:firstColumn="1" w:firstRow="1" w:lastColumn="0" w:lastRow="0" w:noHBand="0" w:noVBand="1" w:val="04A0"/>
      </w:tblPr>
      <w:tblGrid>
        <w:gridCol w:w="3168"/>
        <w:gridCol w:w="6192"/>
      </w:tblGrid>
      <w:tr>
        <w:tc>
          <w:tcPr>
            <w:tcW w:type="dxa" w:w="4680"/>
            <w:shd w:fill="F1F5F9"/>
            <w:tcMar>
              <w:top w:w="80" w:type="dxa"/>
              <w:bottom w:w="80" w:type="dxa"/>
              <w:left w:w="100" w:type="dxa"/>
              <w:right w:w="100" w:type="dxa"/>
            </w:tcMar>
          </w:tcPr>
          <w:p>
            <w:r>
              <w:rPr>
                <w:b/>
                <w:sz w:val="19"/>
              </w:rPr>
              <w:t>Nama Proyek</w:t>
            </w:r>
          </w:p>
        </w:tc>
        <w:tc>
          <w:tcPr>
            <w:tcW w:type="dxa" w:w="4680"/>
            <w:shd w:fill="FFFFFF"/>
            <w:tcMar>
              <w:top w:w="80" w:type="dxa"/>
              <w:bottom w:w="80" w:type="dxa"/>
              <w:left w:w="100" w:type="dxa"/>
              <w:right w:w="100" w:type="dxa"/>
            </w:tcMar>
          </w:tcPr>
          <w:p>
            <w:r>
              <w:rPr>
                <w:sz w:val="19"/>
              </w:rPr>
              <w:t>Sistem Informasi Penjadwalan Mapel (SIP-MAPEL v2.0 Pro)</w:t>
            </w:r>
          </w:p>
        </w:tc>
      </w:tr>
      <w:tr>
        <w:tc>
          <w:tcPr>
            <w:tcW w:type="dxa" w:w="4680"/>
            <w:shd w:fill="F1F5F9"/>
            <w:tcMar>
              <w:top w:w="80" w:type="dxa"/>
              <w:bottom w:w="80" w:type="dxa"/>
              <w:left w:w="100" w:type="dxa"/>
              <w:right w:w="100" w:type="dxa"/>
            </w:tcMar>
          </w:tcPr>
          <w:p>
            <w:r>
              <w:rPr>
                <w:b/>
                <w:sz w:val="19"/>
              </w:rPr>
              <w:t>Institusi Pengguna</w:t>
            </w:r>
          </w:p>
        </w:tc>
        <w:tc>
          <w:tcPr>
            <w:tcW w:type="dxa" w:w="4680"/>
            <w:shd w:fill="FFFFFF"/>
            <w:tcMar>
              <w:top w:w="80" w:type="dxa"/>
              <w:bottom w:w="80" w:type="dxa"/>
              <w:left w:w="100" w:type="dxa"/>
              <w:right w:w="100" w:type="dxa"/>
            </w:tcMar>
          </w:tcPr>
          <w:p>
            <w:r>
              <w:rPr>
                <w:sz w:val="19"/>
              </w:rPr>
              <w:t>Yayasan Annida Al Islamy Setu Bekasi</w:t>
              <w:br/>
              <w:t>Ponpes Annida Al Islamy 2 • SMP Annida Al Islamy</w:t>
            </w:r>
          </w:p>
        </w:tc>
      </w:tr>
      <w:tr>
        <w:tc>
          <w:tcPr>
            <w:tcW w:type="dxa" w:w="4680"/>
            <w:shd w:fill="F1F5F9"/>
            <w:tcMar>
              <w:top w:w="80" w:type="dxa"/>
              <w:bottom w:w="80" w:type="dxa"/>
              <w:left w:w="100" w:type="dxa"/>
              <w:right w:w="100" w:type="dxa"/>
            </w:tcMar>
          </w:tcPr>
          <w:p>
            <w:r>
              <w:rPr>
                <w:b/>
                <w:sz w:val="19"/>
              </w:rPr>
              <w:t>Metodologi Pengembangan</w:t>
            </w:r>
          </w:p>
        </w:tc>
        <w:tc>
          <w:tcPr>
            <w:tcW w:type="dxa" w:w="4680"/>
            <w:shd w:fill="FFFFFF"/>
            <w:tcMar>
              <w:top w:w="80" w:type="dxa"/>
              <w:bottom w:w="80" w:type="dxa"/>
              <w:left w:w="100" w:type="dxa"/>
              <w:right w:w="100" w:type="dxa"/>
            </w:tcMar>
          </w:tcPr>
          <w:p>
            <w:r>
              <w:rPr>
                <w:sz w:val="19"/>
              </w:rPr>
              <w:t>Agile Scrum Framework &amp; ISACA ITAF Assurance Controls</w:t>
            </w:r>
          </w:p>
        </w:tc>
      </w:tr>
      <w:tr>
        <w:tc>
          <w:tcPr>
            <w:tcW w:type="dxa" w:w="4680"/>
            <w:shd w:fill="F1F5F9"/>
            <w:tcMar>
              <w:top w:w="80" w:type="dxa"/>
              <w:bottom w:w="80" w:type="dxa"/>
              <w:left w:w="100" w:type="dxa"/>
              <w:right w:w="100" w:type="dxa"/>
            </w:tcMar>
          </w:tcPr>
          <w:p>
            <w:r>
              <w:rPr>
                <w:b/>
                <w:sz w:val="19"/>
              </w:rPr>
              <w:t>Versi Rilis Dokumen</w:t>
            </w:r>
          </w:p>
        </w:tc>
        <w:tc>
          <w:tcPr>
            <w:tcW w:type="dxa" w:w="4680"/>
            <w:shd w:fill="FFFFFF"/>
            <w:tcMar>
              <w:top w:w="80" w:type="dxa"/>
              <w:bottom w:w="80" w:type="dxa"/>
              <w:left w:w="100" w:type="dxa"/>
              <w:right w:w="100" w:type="dxa"/>
            </w:tcMar>
          </w:tcPr>
          <w:p>
            <w:r>
              <w:rPr>
                <w:sz w:val="19"/>
              </w:rPr>
              <w:t>v2.3 - Enterprise Production Ready</w:t>
            </w:r>
          </w:p>
        </w:tc>
      </w:tr>
      <w:tr>
        <w:tc>
          <w:tcPr>
            <w:tcW w:type="dxa" w:w="4680"/>
            <w:shd w:fill="F1F5F9"/>
            <w:tcMar>
              <w:top w:w="80" w:type="dxa"/>
              <w:bottom w:w="80" w:type="dxa"/>
              <w:left w:w="100" w:type="dxa"/>
              <w:right w:w="100" w:type="dxa"/>
            </w:tcMar>
          </w:tcPr>
          <w:p>
            <w:r>
              <w:rPr>
                <w:b/>
                <w:sz w:val="19"/>
              </w:rPr>
              <w:t>Klasifikasi Dokumen</w:t>
            </w:r>
          </w:p>
        </w:tc>
        <w:tc>
          <w:tcPr>
            <w:tcW w:type="dxa" w:w="4680"/>
            <w:shd w:fill="FFFFFF"/>
            <w:tcMar>
              <w:top w:w="80" w:type="dxa"/>
              <w:bottom w:w="80" w:type="dxa"/>
              <w:left w:w="100" w:type="dxa"/>
              <w:right w:w="100" w:type="dxa"/>
            </w:tcMar>
          </w:tcPr>
          <w:p>
            <w:r>
              <w:rPr>
                <w:sz w:val="19"/>
              </w:rPr>
              <w:t>Dokumen Teknis Rekayasa Perangkat Lunak (Internal &amp; Auditor)</w:t>
            </w:r>
          </w:p>
        </w:tc>
      </w:tr>
      <w:tr>
        <w:tc>
          <w:tcPr>
            <w:tcW w:type="dxa" w:w="4680"/>
            <w:shd w:fill="F1F5F9"/>
            <w:tcMar>
              <w:top w:w="80" w:type="dxa"/>
              <w:bottom w:w="80" w:type="dxa"/>
              <w:left w:w="100" w:type="dxa"/>
              <w:right w:w="100" w:type="dxa"/>
            </w:tcMar>
          </w:tcPr>
          <w:p>
            <w:r>
              <w:rPr>
                <w:b/>
                <w:sz w:val="19"/>
              </w:rPr>
              <w:t>Penyusun &amp; Tanggal</w:t>
            </w:r>
          </w:p>
        </w:tc>
        <w:tc>
          <w:tcPr>
            <w:tcW w:type="dxa" w:w="4680"/>
            <w:shd w:fill="FFFFFF"/>
            <w:tcMar>
              <w:top w:w="80" w:type="dxa"/>
              <w:bottom w:w="80" w:type="dxa"/>
              <w:left w:w="100" w:type="dxa"/>
              <w:right w:w="100" w:type="dxa"/>
            </w:tcMar>
          </w:tcPr>
          <w:p>
            <w:r>
              <w:rPr>
                <w:sz w:val="19"/>
              </w:rPr>
              <w:t>Tim Pengembang Kurikulum &amp; Arsitek Sistem · Agustus 2026</w:t>
            </w:r>
          </w:p>
        </w:tc>
      </w:tr>
    </w:tbl>
    <w:p>
      <w:r>
        <w:br w:type="page"/>
      </w:r>
    </w:p>
    <w:p>
      <w:pPr>
        <w:keepNext/>
        <w:spacing w:before="400" w:after="120"/>
      </w:pPr>
      <w:r>
        <w:rPr>
          <w:rFonts w:ascii="Calibri" w:hAnsi="Calibri"/>
          <w:b/>
          <w:color w:val="0F764D"/>
          <w:sz w:val="28"/>
        </w:rPr>
        <w:t>BAB 1. EXECUTIVE SUMMARY &amp; AGILE PRODUCT CHARTER</w:t>
      </w:r>
    </w:p>
    <w:p>
      <w:pPr>
        <w:spacing w:before="0" w:after="160"/>
      </w:pPr>
      <w:r>
        <w:rPr>
          <w:color w:val="CBD5E1"/>
          <w:sz w:val="16"/>
        </w:rPr>
        <w:t>―――――――――――――――――――――――――――――――――――――――――――――――――――――――</w:t>
      </w:r>
    </w:p>
    <w:p>
      <w:pPr>
        <w:keepNext/>
        <w:spacing w:before="240" w:after="80"/>
      </w:pPr>
      <w:r>
        <w:rPr>
          <w:rFonts w:ascii="Calibri" w:hAnsi="Calibri"/>
          <w:b/>
          <w:color w:val="1E293B"/>
          <w:sz w:val="24"/>
        </w:rPr>
        <w:t>1.1 Visi Produk (Product Vision Statement)</w:t>
      </w:r>
    </w:p>
    <w:p>
      <w:r>
        <w:t>Untuk pimpinan madrasah/sekolah dan tim pengembang kurikulum Yayasan Annida Al Islamy Setu Bekasi yang membutuhkan penyusunan jadwal belajar tanpa konflik dan efisien, SIP-MAPEL v2.0 Pro adalah aplikasi web penjadwalan cerdas berbasis algoritma Constraint Satisfaction Problem (CSP). Berbeda dengan sistem manual berbasis spreadsheet yang rentan kesalahan dan lambat, sistem ini mengotomasi ratusan blok jadwal dalam sekali klik dengan jaminan 0% bentrok multi-booking guru dan kepatuhan penuh terhadap izin ketersediaan mengajar.</w:t>
      </w:r>
    </w:p>
    <w:p>
      <w:pPr>
        <w:keepNext/>
        <w:spacing w:before="240" w:after="80"/>
      </w:pPr>
      <w:r>
        <w:rPr>
          <w:rFonts w:ascii="Calibri" w:hAnsi="Calibri"/>
          <w:b/>
          <w:color w:val="1E293B"/>
          <w:sz w:val="24"/>
        </w:rPr>
        <w:t>1.2 Agile Value Proposition &amp; Sasaran Bisnis</w:t>
      </w:r>
    </w:p>
    <w:p>
      <w:pPr>
        <w:pStyle w:val="ListBullet"/>
      </w:pPr>
      <w:r>
        <w:rPr>
          <w:b/>
        </w:rPr>
        <w:t xml:space="preserve">Time-to-Schedule Acceleration: </w:t>
      </w:r>
      <w:r>
        <w:t>Memangkas waktu penyusunan jadwal tahunan dari 5-7 hari kerja menjadi kurang dari 10 detik.</w:t>
      </w:r>
    </w:p>
    <w:p>
      <w:pPr>
        <w:pStyle w:val="ListBullet"/>
      </w:pPr>
      <w:r>
        <w:rPr>
          <w:b/>
        </w:rPr>
        <w:t xml:space="preserve">Zero Human-Error &amp; Collision: </w:t>
      </w:r>
      <w:r>
        <w:t>Mengeliminasi 100% bentrok jadwal ganda guru dan tabrakan ruangan kelas melalui validasi matematis berbasis graf.</w:t>
      </w:r>
    </w:p>
    <w:p>
      <w:pPr>
        <w:pStyle w:val="ListBullet"/>
      </w:pPr>
      <w:r>
        <w:rPr>
          <w:b/>
        </w:rPr>
        <w:t xml:space="preserve">Dynamic Constraint Adaptation: </w:t>
      </w:r>
      <w:r>
        <w:t>Mengakomodasi permohonan hari khusus mengajar guru (misal: guru hanya mengajar Sabtu di 3 kelas tertentu) secara persisten.</w:t>
      </w:r>
    </w:p>
    <w:p>
      <w:pPr>
        <w:pStyle w:val="ListBullet"/>
      </w:pPr>
      <w:r>
        <w:rPr>
          <w:b/>
        </w:rPr>
        <w:t xml:space="preserve">Auditability &amp; Governance: </w:t>
      </w:r>
      <w:r>
        <w:t>Menyediakan jejak audit (Audit Trail) terenkripsi dan fasilitas rollback pemulihan instan.</w:t>
      </w:r>
    </w:p>
    <w:tbl>
      <w:tblPr>
        <w:tblW w:type="auto" w:w="0"/>
        <w:jc w:val="center"/>
        <w:tblLayout w:type="fixed"/>
        <w:tblLook w:firstColumn="1" w:firstRow="1" w:lastColumn="0" w:lastRow="0" w:noHBand="0" w:noVBand="1" w:val="04A0"/>
      </w:tblPr>
      <w:tblGrid>
        <w:gridCol w:w="9360"/>
      </w:tblGrid>
      <w:tr>
        <w:tc>
          <w:tcPr>
            <w:tcW w:type="dxa" w:w="9360"/>
            <w:tcMar>
              <w:top w:w="140" w:type="dxa"/>
              <w:bottom w:w="140" w:type="dxa"/>
              <w:left w:w="180" w:type="dxa"/>
              <w:right w:w="180" w:type="dxa"/>
            </w:tcMar>
            <w:shd w:fill="EFF6FF"/>
          </w:tcPr>
          <w:p>
            <w:pPr>
              <w:spacing w:before="0" w:after="0"/>
            </w:pPr>
            <w:r>
              <w:rPr>
                <w:sz w:val="21"/>
              </w:rPr>
              <w:t xml:space="preserve">⚡ </w:t>
            </w:r>
            <w:r>
              <w:rPr>
                <w:rFonts w:ascii="Calibri" w:hAnsi="Calibri"/>
                <w:i/>
                <w:color w:val="1E293B"/>
                <w:sz w:val="20"/>
              </w:rPr>
              <w:t>Metodologi Agile memastikan arsitektur sistem dibangun secara modular, teruji (test-driven), dan mudah diadaptasi seiring berkembangnya jumlah rombel santri dan jenjang pendidikan di Yayasan Annida Al Islamy.</w:t>
            </w:r>
          </w:p>
        </w:tc>
      </w:tr>
    </w:tbl>
    <w:p>
      <w:pPr>
        <w:spacing w:after="80"/>
      </w:pPr>
    </w:p>
    <w:p>
      <w:pPr>
        <w:keepNext/>
        <w:spacing w:before="400" w:after="120"/>
      </w:pPr>
      <w:r>
        <w:rPr>
          <w:rFonts w:ascii="Calibri" w:hAnsi="Calibri"/>
          <w:b/>
          <w:color w:val="0F764D"/>
          <w:sz w:val="28"/>
        </w:rPr>
        <w:t>BAB 2. AGILE EPICS &amp; USER STORIES HIERARCHY</w:t>
      </w:r>
    </w:p>
    <w:p>
      <w:pPr>
        <w:spacing w:before="0" w:after="160"/>
      </w:pPr>
      <w:r>
        <w:rPr>
          <w:color w:val="CBD5E1"/>
          <w:sz w:val="16"/>
        </w:rPr>
        <w:t>―――――――――――――――――――――――――――――――――――――――――――――――――――――――</w:t>
      </w:r>
    </w:p>
    <w:p>
      <w:r>
        <w:t>Ruang lingkup rekayasa perangkat lunak SIP-MAPEL v2.0 Pro didekomposisi ke dalam 5 Agile Epics utama:</w:t>
      </w:r>
    </w:p>
    <w:tbl>
      <w:tblPr>
        <w:tblW w:type="auto" w:w="0"/>
        <w:jc w:val="center"/>
        <w:tblLayout w:type="fixed"/>
        <w:tblLook w:firstColumn="1" w:firstRow="1" w:lastColumn="0" w:lastRow="0" w:noHBand="0" w:noVBand="1" w:val="04A0"/>
      </w:tblPr>
      <w:tblGrid>
        <w:gridCol w:w="3312"/>
        <w:gridCol w:w="6048"/>
      </w:tblGrid>
      <w:tr>
        <w:tc>
          <w:tcPr>
            <w:tcW w:type="dxa" w:w="4680"/>
            <w:shd w:fill="0F764D"/>
          </w:tcPr>
          <w:p>
            <w:r>
              <w:rPr>
                <w:b/>
                <w:color w:val="FFFFFF"/>
                <w:sz w:val="19"/>
              </w:rPr>
              <w:t>Epics Identifier</w:t>
            </w:r>
          </w:p>
        </w:tc>
        <w:tc>
          <w:tcPr>
            <w:tcW w:type="dxa" w:w="4680"/>
            <w:shd w:fill="0F764D"/>
          </w:tcPr>
          <w:p>
            <w:r>
              <w:rPr>
                <w:b/>
                <w:color w:val="FFFFFF"/>
                <w:sz w:val="19"/>
              </w:rPr>
              <w:t>User Story &amp; Acceptance Criteria</w:t>
            </w:r>
          </w:p>
        </w:tc>
      </w:tr>
      <w:tr>
        <w:tc>
          <w:tcPr>
            <w:tcW w:type="dxa" w:w="4680"/>
            <w:shd w:fill="F8FAFC"/>
            <w:tcMar>
              <w:top w:w="70" w:type="dxa"/>
              <w:bottom w:w="70" w:type="dxa"/>
              <w:left w:w="90" w:type="dxa"/>
              <w:right w:w="90" w:type="dxa"/>
            </w:tcMar>
          </w:tcPr>
          <w:p>
            <w:r>
              <w:rPr>
                <w:b/>
                <w:sz w:val="18"/>
              </w:rPr>
              <w:t>EPIC-01: CSP Auto-Scheduler Engine</w:t>
            </w:r>
          </w:p>
        </w:tc>
        <w:tc>
          <w:tcPr>
            <w:tcW w:type="dxa" w:w="4680"/>
            <w:shd w:fill="F8FAFC"/>
            <w:tcMar>
              <w:top w:w="70" w:type="dxa"/>
              <w:bottom w:w="70" w:type="dxa"/>
              <w:left w:w="90" w:type="dxa"/>
              <w:right w:w="90" w:type="dxa"/>
            </w:tcMar>
          </w:tcPr>
          <w:p>
            <w:r>
              <w:rPr>
                <w:sz w:val="18"/>
              </w:rPr>
              <w:t>Sebagai Waka Kurikulum, saya ingin menjalankan generator otomatis sehingga ratusan jam pelajaran terdistribusi merata ke semua kelas tanpa bentrok.</w:t>
            </w:r>
          </w:p>
        </w:tc>
      </w:tr>
      <w:tr>
        <w:tc>
          <w:tcPr>
            <w:tcW w:type="dxa" w:w="4680"/>
            <w:shd w:fill="FFFFFF"/>
            <w:tcMar>
              <w:top w:w="70" w:type="dxa"/>
              <w:bottom w:w="70" w:type="dxa"/>
              <w:left w:w="90" w:type="dxa"/>
              <w:right w:w="90" w:type="dxa"/>
            </w:tcMar>
          </w:tcPr>
          <w:p>
            <w:r>
              <w:rPr>
                <w:b/>
                <w:sz w:val="18"/>
              </w:rPr>
              <w:t>EPIC-02: Constraint &amp; Teacher Availability</w:t>
            </w:r>
          </w:p>
        </w:tc>
        <w:tc>
          <w:tcPr>
            <w:tcW w:type="dxa" w:w="4680"/>
            <w:shd w:fill="FFFFFF"/>
            <w:tcMar>
              <w:top w:w="70" w:type="dxa"/>
              <w:bottom w:w="70" w:type="dxa"/>
              <w:left w:w="90" w:type="dxa"/>
              <w:right w:w="90" w:type="dxa"/>
            </w:tcMar>
          </w:tcPr>
          <w:p>
            <w:r>
              <w:rPr>
                <w:sz w:val="18"/>
              </w:rPr>
              <w:t>Sebagai Guru/Admin, saya ingin mengunci hari ketersediaan dan jam izin kuliah/libur sehingga jadwal tidak menempatkan saya di waktu berhalangan.</w:t>
            </w:r>
          </w:p>
        </w:tc>
      </w:tr>
      <w:tr>
        <w:tc>
          <w:tcPr>
            <w:tcW w:type="dxa" w:w="4680"/>
            <w:shd w:fill="F8FAFC"/>
            <w:tcMar>
              <w:top w:w="70" w:type="dxa"/>
              <w:bottom w:w="70" w:type="dxa"/>
              <w:left w:w="90" w:type="dxa"/>
              <w:right w:w="90" w:type="dxa"/>
            </w:tcMar>
          </w:tcPr>
          <w:p>
            <w:r>
              <w:rPr>
                <w:b/>
                <w:sz w:val="18"/>
              </w:rPr>
              <w:t>EPIC-03: Conflict Center &amp; Pre-Flight Quality Control</w:t>
            </w:r>
          </w:p>
        </w:tc>
        <w:tc>
          <w:tcPr>
            <w:tcW w:type="dxa" w:w="4680"/>
            <w:shd w:fill="F8FAFC"/>
            <w:tcMar>
              <w:top w:w="70" w:type="dxa"/>
              <w:bottom w:w="70" w:type="dxa"/>
              <w:left w:w="90" w:type="dxa"/>
              <w:right w:w="90" w:type="dxa"/>
            </w:tcMar>
          </w:tcPr>
          <w:p>
            <w:r>
              <w:rPr>
                <w:sz w:val="18"/>
              </w:rPr>
              <w:t>Sebagai Auditor/Pimpinan, saya ingin dasbor pemantauan bentrok dengan scroll bar terisolasi untuk memastikan kesiapan jadwal sebelum dicetak.</w:t>
            </w:r>
          </w:p>
        </w:tc>
      </w:tr>
      <w:tr>
        <w:tc>
          <w:tcPr>
            <w:tcW w:type="dxa" w:w="4680"/>
            <w:shd w:fill="FFFFFF"/>
            <w:tcMar>
              <w:top w:w="70" w:type="dxa"/>
              <w:bottom w:w="70" w:type="dxa"/>
              <w:left w:w="90" w:type="dxa"/>
              <w:right w:w="90" w:type="dxa"/>
            </w:tcMar>
          </w:tcPr>
          <w:p>
            <w:r>
              <w:rPr>
                <w:b/>
                <w:sz w:val="18"/>
              </w:rPr>
              <w:t>EPIC-04: Broadsheet UI &amp; Persistent Sidebar Frame</w:t>
            </w:r>
          </w:p>
        </w:tc>
        <w:tc>
          <w:tcPr>
            <w:tcW w:type="dxa" w:w="4680"/>
            <w:shd w:fill="FFFFFF"/>
            <w:tcMar>
              <w:top w:w="70" w:type="dxa"/>
              <w:bottom w:w="70" w:type="dxa"/>
              <w:left w:w="90" w:type="dxa"/>
              <w:right w:w="90" w:type="dxa"/>
            </w:tcMar>
          </w:tcPr>
          <w:p>
            <w:r>
              <w:rPr>
                <w:sz w:val="18"/>
              </w:rPr>
              <w:t>Sebagai Pengguna Sistem, saya ingin navigasi samping yang persisten dan dasbor ringkas agar operasional sistem terasa cepat dan intuitif.</w:t>
            </w:r>
          </w:p>
        </w:tc>
      </w:tr>
      <w:tr>
        <w:tc>
          <w:tcPr>
            <w:tcW w:type="dxa" w:w="4680"/>
            <w:shd w:fill="F8FAFC"/>
            <w:tcMar>
              <w:top w:w="70" w:type="dxa"/>
              <w:bottom w:w="70" w:type="dxa"/>
              <w:left w:w="90" w:type="dxa"/>
              <w:right w:w="90" w:type="dxa"/>
            </w:tcMar>
          </w:tcPr>
          <w:p>
            <w:r>
              <w:rPr>
                <w:b/>
                <w:sz w:val="18"/>
              </w:rPr>
              <w:t>EPIC-05: Formal Reporting &amp; PDF Engine</w:t>
            </w:r>
          </w:p>
        </w:tc>
        <w:tc>
          <w:tcPr>
            <w:tcW w:type="dxa" w:w="4680"/>
            <w:shd w:fill="F8FAFC"/>
            <w:tcMar>
              <w:top w:w="70" w:type="dxa"/>
              <w:bottom w:w="70" w:type="dxa"/>
              <w:left w:w="90" w:type="dxa"/>
              <w:right w:w="90" w:type="dxa"/>
            </w:tcMar>
          </w:tcPr>
          <w:p>
            <w:r>
              <w:rPr>
                <w:sz w:val="18"/>
              </w:rPr>
              <w:t>Sebagai Kepala Sekolah, saya ingin mencetak dokumen jadwal resmi ber-Kop Surat Yayasan &amp; Ponpes Annida Al Islamy 2 siap tanda tangan.</w:t>
            </w:r>
          </w:p>
        </w:tc>
      </w:tr>
    </w:tbl>
    <w:p>
      <w:pPr>
        <w:keepNext/>
        <w:spacing w:before="400" w:after="120"/>
      </w:pPr>
      <w:r>
        <w:rPr>
          <w:rFonts w:ascii="Calibri" w:hAnsi="Calibri"/>
          <w:b/>
          <w:color w:val="0F764D"/>
          <w:sz w:val="28"/>
        </w:rPr>
        <w:t>BAB 3. ARSITEKTUR SISTEM &amp; TECHNOLOGY STACK</w:t>
      </w:r>
    </w:p>
    <w:p>
      <w:pPr>
        <w:spacing w:before="0" w:after="160"/>
      </w:pPr>
      <w:r>
        <w:rPr>
          <w:color w:val="CBD5E1"/>
          <w:sz w:val="16"/>
        </w:rPr>
        <w:t>―――――――――――――――――――――――――――――――――――――――――――――――――――――――</w:t>
      </w:r>
    </w:p>
    <w:p>
      <w:pPr>
        <w:keepNext/>
        <w:spacing w:before="240" w:after="80"/>
      </w:pPr>
      <w:r>
        <w:rPr>
          <w:rFonts w:ascii="Calibri" w:hAnsi="Calibri"/>
          <w:b/>
          <w:color w:val="1E293B"/>
          <w:sz w:val="24"/>
        </w:rPr>
        <w:t>3.1 C4 Architecture Container Model</w:t>
      </w:r>
    </w:p>
    <w:p>
      <w:r>
        <w:t>Sistem mengadopsi pola modern Jamstack / Serverless Architecture berbasis Next.js App Router (React Server Components) dengan lapisan terstruktur:</w:t>
      </w:r>
    </w:p>
    <w:p>
      <w:pPr>
        <w:pStyle w:val="ListBullet"/>
      </w:pPr>
      <w:r>
        <w:rPr>
          <w:b/>
        </w:rPr>
        <w:t xml:space="preserve">Presentation Layer: </w:t>
      </w:r>
      <w:r>
        <w:t>Next.js 16 (Turbopack), Tailwind CSS v4, Lucide Icons, Broadsheet Editorial Design System dengan Persistent Sidebar Frame.</w:t>
      </w:r>
    </w:p>
    <w:p>
      <w:pPr>
        <w:pStyle w:val="ListBullet"/>
      </w:pPr>
      <w:r>
        <w:rPr>
          <w:b/>
        </w:rPr>
        <w:t xml:space="preserve">Application &amp; API Layer: </w:t>
      </w:r>
      <w:r>
        <w:t>React Server Components (RSC) &amp; Server Actions untuk operasi mutasi database berkinerja tinggi tanpa latensi API REST eksternal.</w:t>
      </w:r>
    </w:p>
    <w:p>
      <w:pPr>
        <w:pStyle w:val="ListBullet"/>
      </w:pPr>
      <w:r>
        <w:rPr>
          <w:b/>
        </w:rPr>
        <w:t xml:space="preserve">Domain &amp; Algorithmic Engine: </w:t>
      </w:r>
      <w:r>
        <w:t>Constraint Satisfaction Problem (CSP) Solver Solver core written in TypeScript (Strict Mode) with Backtracking Search and MRV heuristics.</w:t>
      </w:r>
    </w:p>
    <w:p>
      <w:pPr>
        <w:pStyle w:val="ListBullet"/>
      </w:pPr>
      <w:r>
        <w:rPr>
          <w:b/>
        </w:rPr>
        <w:t xml:space="preserve">Data Persistence Layer: </w:t>
      </w:r>
      <w:r>
        <w:t>Prisma ORM v7 dengan dukungan multi-driver adapter (SQLite untuk Local Development, PostgreSQL untuk Enterprise Cloud Production).</w:t>
      </w:r>
    </w:p>
    <w:p>
      <w:pPr>
        <w:pStyle w:val="ListBullet"/>
      </w:pPr>
      <w:r>
        <w:rPr>
          <w:b/>
        </w:rPr>
        <w:t xml:space="preserve">Deployment &amp; Edge Hosting: </w:t>
      </w:r>
      <w:r>
        <w:t>Vercel Global Edge Network dengan Continuous Deployment terintegrasi ke GitHub Repository.</w:t>
      </w:r>
    </w:p>
    <w:p>
      <w:pPr>
        <w:keepNext/>
        <w:spacing w:before="400" w:after="120"/>
      </w:pPr>
      <w:r>
        <w:rPr>
          <w:rFonts w:ascii="Calibri" w:hAnsi="Calibri"/>
          <w:b/>
          <w:color w:val="0F764D"/>
          <w:sz w:val="28"/>
        </w:rPr>
        <w:t>BAB 4. DESAIN ALGORITMA PENJADWALAN (CSP ENGINE)</w:t>
      </w:r>
    </w:p>
    <w:p>
      <w:pPr>
        <w:spacing w:before="0" w:after="160"/>
      </w:pPr>
      <w:r>
        <w:rPr>
          <w:color w:val="CBD5E1"/>
          <w:sz w:val="16"/>
        </w:rPr>
        <w:t>―――――――――――――――――――――――――――――――――――――――――――――――――――――――</w:t>
      </w:r>
    </w:p>
    <w:p>
      <w:r>
        <w:t>Inti otomasi penjadwalan SIP-MAPEL v2.0 Pro dirumuskan sebagai Constraint Satisfaction Problem (CSP) formal yang didefinisikan sebagai tripel $(X, D, C)$:</w:t>
      </w:r>
    </w:p>
    <w:p>
      <w:pPr>
        <w:spacing w:before="80" w:after="60"/>
      </w:pPr>
      <w:r>
        <w:rPr>
          <w:b/>
          <w:color w:val="1E293B"/>
        </w:rPr>
        <w:t>• Himpunan Variabel (X):</w:t>
      </w:r>
    </w:p>
    <w:p>
      <w:pPr>
        <w:spacing w:after="80"/>
        <w:ind w:left="360"/>
      </w:pPr>
      <w:r>
        <w:t>Blok jam pelajaran yang harus dialokasikan: $X = \{x_{c, m, k} \mid c \in \text{Classes}, m \in \text{Subjects}, k \in [1..\text{TargetPeriods}]\}$.</w:t>
      </w:r>
    </w:p>
    <w:p>
      <w:pPr>
        <w:spacing w:before="80" w:after="60"/>
      </w:pPr>
      <w:r>
        <w:rPr>
          <w:b/>
          <w:color w:val="1E293B"/>
        </w:rPr>
        <w:t>• Himpunan Domain (D):</w:t>
      </w:r>
    </w:p>
    <w:p>
      <w:pPr>
        <w:spacing w:after="80"/>
        <w:ind w:left="360"/>
      </w:pPr>
      <w:r>
        <w:t>Pasangan slot waktu dan hari yang tersedia: $D(x) = \{(d, p) \mid d \in [1..6], p \in [1..\text{MaxPeriods}]\}$.</w:t>
      </w:r>
    </w:p>
    <w:p>
      <w:pPr>
        <w:spacing w:before="80" w:after="60"/>
      </w:pPr>
      <w:r>
        <w:rPr>
          <w:b/>
          <w:color w:val="1E293B"/>
        </w:rPr>
        <w:t>• Himpunan Batasan Mutlak (Hard Constraints C_hard):</w:t>
      </w:r>
    </w:p>
    <w:p>
      <w:pPr>
        <w:spacing w:after="80"/>
        <w:ind w:left="360"/>
      </w:pPr>
      <w:r>
        <w:t>1) Seorang guru $G$ hanya dapat mengajar di 1 kelas pada slot $(d, p)$ yang sama.</w:t>
        <w:br/>
        <w:t>2) Satu kelas $C$ hanya dapat menampung 1 mapel pada slot $(d, p)$.</w:t>
        <w:br/>
        <w:t>3) Guru tidak boleh dijadwalkan pada slot $(d, p) \in \text{TeacherConstraints}$.</w:t>
      </w:r>
    </w:p>
    <w:p>
      <w:pPr>
        <w:spacing w:before="80" w:after="60"/>
      </w:pPr>
      <w:r>
        <w:rPr>
          <w:b/>
          <w:color w:val="1E293B"/>
        </w:rPr>
        <w:t>• Himpunan Batasan Relatif (Soft Constraints C_soft):</w:t>
      </w:r>
    </w:p>
    <w:p>
      <w:pPr>
        <w:spacing w:after="80"/>
        <w:ind w:left="360"/>
      </w:pPr>
      <w:r>
        <w:t>1) Menghindari jam kosong (*teacher gap periods*) di tengah hari.</w:t>
        <w:br/>
        <w:t>2) Distribusi mapel maksimal 2-4 JP berurutan (block-teaching).</w:t>
      </w:r>
    </w:p>
    <w:tbl>
      <w:tblPr>
        <w:tblW w:type="auto" w:w="0"/>
        <w:jc w:val="center"/>
        <w:tblLayout w:type="fixed"/>
        <w:tblLook w:firstColumn="1" w:firstRow="1" w:lastColumn="0" w:lastRow="0" w:noHBand="0" w:noVBand="1" w:val="04A0"/>
      </w:tblPr>
      <w:tblGrid>
        <w:gridCol w:w="9360"/>
      </w:tblGrid>
      <w:tr>
        <w:tc>
          <w:tcPr>
            <w:tcW w:type="dxa" w:w="9360"/>
            <w:tcMar>
              <w:top w:w="140" w:type="dxa"/>
              <w:bottom w:w="140" w:type="dxa"/>
              <w:left w:w="180" w:type="dxa"/>
              <w:right w:w="180" w:type="dxa"/>
            </w:tcMar>
            <w:shd w:fill="ECFDF5"/>
          </w:tcPr>
          <w:p>
            <w:pPr>
              <w:spacing w:before="0" w:after="0"/>
            </w:pPr>
            <w:r>
              <w:rPr>
                <w:sz w:val="21"/>
              </w:rPr>
              <w:t xml:space="preserve">✅ </w:t>
            </w:r>
            <w:r>
              <w:rPr>
                <w:rFonts w:ascii="Calibri" w:hAnsi="Calibri"/>
                <w:i/>
                <w:color w:val="1E293B"/>
                <w:sz w:val="20"/>
              </w:rPr>
              <w:t>Strategi Heuristik Minimum Remaining Values (MRV) dan Forward Checking digunakan untuk memangkas ruang pencarian (search-space pruning), sehingga jadwal seluruh kelas terselesaikan dalam waktu &lt; 2 detik.</w:t>
            </w:r>
          </w:p>
        </w:tc>
      </w:tr>
    </w:tbl>
    <w:p>
      <w:pPr>
        <w:spacing w:after="80"/>
      </w:pPr>
    </w:p>
    <w:p>
      <w:pPr>
        <w:keepNext/>
        <w:spacing w:before="400" w:after="120"/>
      </w:pPr>
      <w:r>
        <w:rPr>
          <w:rFonts w:ascii="Calibri" w:hAnsi="Calibri"/>
          <w:b/>
          <w:color w:val="0F764D"/>
          <w:sz w:val="28"/>
        </w:rPr>
        <w:t>BAB 5. SKEMA DATABASE &amp; INTEGRITAS RELASIONAL</w:t>
      </w:r>
    </w:p>
    <w:p>
      <w:pPr>
        <w:spacing w:before="0" w:after="160"/>
      </w:pPr>
      <w:r>
        <w:rPr>
          <w:color w:val="CBD5E1"/>
          <w:sz w:val="16"/>
        </w:rPr>
        <w:t>―――――――――――――――――――――――――――――――――――――――――――――――――――――――</w:t>
      </w:r>
    </w:p>
    <w:p>
      <w:r>
        <w:t>Model data dirancang mengikuti prinsip Normalisasi Bentuk Ketiga (3NF) dengan auditabilitas temporal:</w:t>
      </w:r>
    </w:p>
    <w:tbl>
      <w:tblPr>
        <w:tblW w:type="auto" w:w="0"/>
        <w:jc w:val="center"/>
        <w:tblLayout w:type="fixed"/>
        <w:tblLook w:firstColumn="1" w:firstRow="1" w:lastColumn="0" w:lastRow="0" w:noHBand="0" w:noVBand="1" w:val="04A0"/>
      </w:tblPr>
      <w:tblGrid>
        <w:gridCol w:w="3168"/>
        <w:gridCol w:w="6192"/>
      </w:tblGrid>
      <w:tr>
        <w:tc>
          <w:tcPr>
            <w:tcW w:type="dxa" w:w="4680"/>
            <w:shd w:fill="0F764D"/>
          </w:tcPr>
          <w:p>
            <w:r>
              <w:rPr>
                <w:b/>
                <w:color w:val="FFFFFF"/>
                <w:sz w:val="19"/>
              </w:rPr>
              <w:t>Nama Entitas / Model</w:t>
            </w:r>
          </w:p>
        </w:tc>
        <w:tc>
          <w:tcPr>
            <w:tcW w:type="dxa" w:w="4680"/>
            <w:shd w:fill="0F764D"/>
          </w:tcPr>
          <w:p>
            <w:r>
              <w:rPr>
                <w:b/>
                <w:color w:val="FFFFFF"/>
                <w:sz w:val="19"/>
              </w:rPr>
              <w:t>Deskripsi &amp; Peran Arsitektural</w:t>
            </w:r>
          </w:p>
        </w:tc>
      </w:tr>
      <w:tr>
        <w:tc>
          <w:tcPr>
            <w:tcW w:type="dxa" w:w="4680"/>
            <w:shd w:fill="F8FAFC"/>
            <w:tcMar>
              <w:top w:w="60" w:type="dxa"/>
              <w:bottom w:w="60" w:type="dxa"/>
              <w:left w:w="80" w:type="dxa"/>
              <w:right w:w="80" w:type="dxa"/>
            </w:tcMar>
          </w:tcPr>
          <w:p>
            <w:r>
              <w:rPr>
                <w:b/>
                <w:sz w:val="18"/>
              </w:rPr>
              <w:t>AcademicYear</w:t>
            </w:r>
          </w:p>
        </w:tc>
        <w:tc>
          <w:tcPr>
            <w:tcW w:type="dxa" w:w="4680"/>
            <w:shd w:fill="F8FAFC"/>
            <w:tcMar>
              <w:top w:w="60" w:type="dxa"/>
              <w:bottom w:w="60" w:type="dxa"/>
              <w:left w:w="80" w:type="dxa"/>
              <w:right w:w="80" w:type="dxa"/>
            </w:tcMar>
          </w:tcPr>
          <w:p>
            <w:r>
              <w:rPr>
                <w:sz w:val="18"/>
              </w:rPr>
              <w:t>Menyimpan tahun ajaran dan semester aktif (`name`, `semester`, `isActive`).</w:t>
            </w:r>
          </w:p>
        </w:tc>
      </w:tr>
      <w:tr>
        <w:tc>
          <w:tcPr>
            <w:tcW w:type="dxa" w:w="4680"/>
            <w:shd w:fill="FFFFFF"/>
            <w:tcMar>
              <w:top w:w="60" w:type="dxa"/>
              <w:bottom w:w="60" w:type="dxa"/>
              <w:left w:w="80" w:type="dxa"/>
              <w:right w:w="80" w:type="dxa"/>
            </w:tcMar>
          </w:tcPr>
          <w:p>
            <w:r>
              <w:rPr>
                <w:b/>
                <w:sz w:val="18"/>
              </w:rPr>
              <w:t>Teacher</w:t>
            </w:r>
          </w:p>
        </w:tc>
        <w:tc>
          <w:tcPr>
            <w:tcW w:type="dxa" w:w="4680"/>
            <w:shd w:fill="FFFFFF"/>
            <w:tcMar>
              <w:top w:w="60" w:type="dxa"/>
              <w:bottom w:w="60" w:type="dxa"/>
              <w:left w:w="80" w:type="dxa"/>
              <w:right w:w="80" w:type="dxa"/>
            </w:tcMar>
          </w:tcPr>
          <w:p>
            <w:r>
              <w:rPr>
                <w:sz w:val="18"/>
              </w:rPr>
              <w:t>Data master guru dengan status keaktifan (`name`, `nip`, `code`, `status`).</w:t>
            </w:r>
          </w:p>
        </w:tc>
      </w:tr>
      <w:tr>
        <w:tc>
          <w:tcPr>
            <w:tcW w:type="dxa" w:w="4680"/>
            <w:shd w:fill="F8FAFC"/>
            <w:tcMar>
              <w:top w:w="60" w:type="dxa"/>
              <w:bottom w:w="60" w:type="dxa"/>
              <w:left w:w="80" w:type="dxa"/>
              <w:right w:w="80" w:type="dxa"/>
            </w:tcMar>
          </w:tcPr>
          <w:p>
            <w:r>
              <w:rPr>
                <w:b/>
                <w:sz w:val="18"/>
              </w:rPr>
              <w:t>TeacherConstraint</w:t>
            </w:r>
          </w:p>
        </w:tc>
        <w:tc>
          <w:tcPr>
            <w:tcW w:type="dxa" w:w="4680"/>
            <w:shd w:fill="F8FAFC"/>
            <w:tcMar>
              <w:top w:w="60" w:type="dxa"/>
              <w:bottom w:w="60" w:type="dxa"/>
              <w:left w:w="80" w:type="dxa"/>
              <w:right w:w="80" w:type="dxa"/>
            </w:tcMar>
          </w:tcPr>
          <w:p>
            <w:r>
              <w:rPr>
                <w:sz w:val="18"/>
              </w:rPr>
              <w:t>Aturan ketersediaan guru (`teacherId`, `dayOfWeek`, `startPeriod`, `endPeriod`, `reason`).</w:t>
            </w:r>
          </w:p>
        </w:tc>
      </w:tr>
      <w:tr>
        <w:tc>
          <w:tcPr>
            <w:tcW w:type="dxa" w:w="4680"/>
            <w:shd w:fill="FFFFFF"/>
            <w:tcMar>
              <w:top w:w="60" w:type="dxa"/>
              <w:bottom w:w="60" w:type="dxa"/>
              <w:left w:w="80" w:type="dxa"/>
              <w:right w:w="80" w:type="dxa"/>
            </w:tcMar>
          </w:tcPr>
          <w:p>
            <w:r>
              <w:rPr>
                <w:b/>
                <w:sz w:val="18"/>
              </w:rPr>
              <w:t>Subject</w:t>
            </w:r>
          </w:p>
        </w:tc>
        <w:tc>
          <w:tcPr>
            <w:tcW w:type="dxa" w:w="4680"/>
            <w:shd w:fill="FFFFFF"/>
            <w:tcMar>
              <w:top w:w="60" w:type="dxa"/>
              <w:bottom w:w="60" w:type="dxa"/>
              <w:left w:w="80" w:type="dxa"/>
              <w:right w:w="80" w:type="dxa"/>
            </w:tcMar>
          </w:tcPr>
          <w:p>
            <w:r>
              <w:rPr>
                <w:sz w:val="18"/>
              </w:rPr>
              <w:t>Data mata pelajaran (`code`, `name`, `defaultPeriodsPerWeek`, `category`).</w:t>
            </w:r>
          </w:p>
        </w:tc>
      </w:tr>
      <w:tr>
        <w:tc>
          <w:tcPr>
            <w:tcW w:type="dxa" w:w="4680"/>
            <w:shd w:fill="F8FAFC"/>
            <w:tcMar>
              <w:top w:w="60" w:type="dxa"/>
              <w:bottom w:w="60" w:type="dxa"/>
              <w:left w:w="80" w:type="dxa"/>
              <w:right w:w="80" w:type="dxa"/>
            </w:tcMar>
          </w:tcPr>
          <w:p>
            <w:r>
              <w:rPr>
                <w:b/>
                <w:sz w:val="18"/>
              </w:rPr>
              <w:t>ClassGroup</w:t>
            </w:r>
          </w:p>
        </w:tc>
        <w:tc>
          <w:tcPr>
            <w:tcW w:type="dxa" w:w="4680"/>
            <w:shd w:fill="F8FAFC"/>
            <w:tcMar>
              <w:top w:w="60" w:type="dxa"/>
              <w:bottom w:w="60" w:type="dxa"/>
              <w:left w:w="80" w:type="dxa"/>
              <w:right w:w="80" w:type="dxa"/>
            </w:tcMar>
          </w:tcPr>
          <w:p>
            <w:r>
              <w:rPr>
                <w:sz w:val="18"/>
              </w:rPr>
              <w:t>Rombongan belajar santri (`name`, `grade`, `academicYearId`).</w:t>
            </w:r>
          </w:p>
        </w:tc>
      </w:tr>
      <w:tr>
        <w:tc>
          <w:tcPr>
            <w:tcW w:type="dxa" w:w="4680"/>
            <w:shd w:fill="FFFFFF"/>
            <w:tcMar>
              <w:top w:w="60" w:type="dxa"/>
              <w:bottom w:w="60" w:type="dxa"/>
              <w:left w:w="80" w:type="dxa"/>
              <w:right w:w="80" w:type="dxa"/>
            </w:tcMar>
          </w:tcPr>
          <w:p>
            <w:r>
              <w:rPr>
                <w:b/>
                <w:sz w:val="18"/>
              </w:rPr>
              <w:t>TeachingLoad</w:t>
            </w:r>
          </w:p>
        </w:tc>
        <w:tc>
          <w:tcPr>
            <w:tcW w:type="dxa" w:w="4680"/>
            <w:shd w:fill="FFFFFF"/>
            <w:tcMar>
              <w:top w:w="60" w:type="dxa"/>
              <w:bottom w:w="60" w:type="dxa"/>
              <w:left w:w="80" w:type="dxa"/>
              <w:right w:w="80" w:type="dxa"/>
            </w:tcMar>
          </w:tcPr>
          <w:p>
            <w:r>
              <w:rPr>
                <w:sz w:val="18"/>
              </w:rPr>
              <w:t>Matriks beban mengajar (`teacherId`, `subjectId`, `classGroupId`, `targetPeriods`).</w:t>
            </w:r>
          </w:p>
        </w:tc>
      </w:tr>
      <w:tr>
        <w:tc>
          <w:tcPr>
            <w:tcW w:type="dxa" w:w="4680"/>
            <w:shd w:fill="F8FAFC"/>
            <w:tcMar>
              <w:top w:w="60" w:type="dxa"/>
              <w:bottom w:w="60" w:type="dxa"/>
              <w:left w:w="80" w:type="dxa"/>
              <w:right w:w="80" w:type="dxa"/>
            </w:tcMar>
          </w:tcPr>
          <w:p>
            <w:r>
              <w:rPr>
                <w:b/>
                <w:sz w:val="18"/>
              </w:rPr>
              <w:t>Schedule</w:t>
            </w:r>
          </w:p>
        </w:tc>
        <w:tc>
          <w:tcPr>
            <w:tcW w:type="dxa" w:w="4680"/>
            <w:shd w:fill="F8FAFC"/>
            <w:tcMar>
              <w:top w:w="60" w:type="dxa"/>
              <w:bottom w:w="60" w:type="dxa"/>
              <w:left w:w="80" w:type="dxa"/>
              <w:right w:w="80" w:type="dxa"/>
            </w:tcMar>
          </w:tcPr>
          <w:p>
            <w:r>
              <w:rPr>
                <w:sz w:val="18"/>
              </w:rPr>
              <w:t>Tabel fakta jadwal aktif (`dayOfWeek`, `period`, `validFrom`, `validUntil`).</w:t>
            </w:r>
          </w:p>
        </w:tc>
      </w:tr>
      <w:tr>
        <w:tc>
          <w:tcPr>
            <w:tcW w:type="dxa" w:w="4680"/>
            <w:shd w:fill="FFFFFF"/>
            <w:tcMar>
              <w:top w:w="60" w:type="dxa"/>
              <w:bottom w:w="60" w:type="dxa"/>
              <w:left w:w="80" w:type="dxa"/>
              <w:right w:w="80" w:type="dxa"/>
            </w:tcMar>
          </w:tcPr>
          <w:p>
            <w:r>
              <w:rPr>
                <w:b/>
                <w:sz w:val="18"/>
              </w:rPr>
              <w:t>AuditLog</w:t>
            </w:r>
          </w:p>
        </w:tc>
        <w:tc>
          <w:tcPr>
            <w:tcW w:type="dxa" w:w="4680"/>
            <w:shd w:fill="FFFFFF"/>
            <w:tcMar>
              <w:top w:w="60" w:type="dxa"/>
              <w:bottom w:w="60" w:type="dxa"/>
              <w:left w:w="80" w:type="dxa"/>
              <w:right w:w="80" w:type="dxa"/>
            </w:tcMar>
          </w:tcPr>
          <w:p>
            <w:r>
              <w:rPr>
                <w:sz w:val="18"/>
              </w:rPr>
              <w:t>Log audit mutasi sistem (`action`, `details`, `performedBy`, `timestamp`).</w:t>
            </w:r>
          </w:p>
        </w:tc>
      </w:tr>
    </w:tbl>
    <w:p>
      <w:pPr>
        <w:keepNext/>
        <w:spacing w:before="400" w:after="120"/>
      </w:pPr>
      <w:r>
        <w:rPr>
          <w:rFonts w:ascii="Calibri" w:hAnsi="Calibri"/>
          <w:b/>
          <w:color w:val="0F764D"/>
          <w:sz w:val="28"/>
        </w:rPr>
        <w:t>BAB 6. QUALITY ASSURANCE, DEFINITION OF DONE &amp; CISA AUDIT</w:t>
      </w:r>
    </w:p>
    <w:p>
      <w:pPr>
        <w:spacing w:before="0" w:after="160"/>
      </w:pPr>
      <w:r>
        <w:rPr>
          <w:color w:val="CBD5E1"/>
          <w:sz w:val="16"/>
        </w:rPr>
        <w:t>―――――――――――――――――――――――――――――――――――――――――――――――――――――――</w:t>
      </w:r>
    </w:p>
    <w:p>
      <w:pPr>
        <w:keepNext/>
        <w:spacing w:before="240" w:after="80"/>
      </w:pPr>
      <w:r>
        <w:rPr>
          <w:rFonts w:ascii="Calibri" w:hAnsi="Calibri"/>
          <w:b/>
          <w:color w:val="1E293B"/>
          <w:sz w:val="24"/>
        </w:rPr>
        <w:t>6.1 Definition of Done (DoD) Standar Enterprise</w:t>
      </w:r>
    </w:p>
    <w:p>
      <w:pPr>
        <w:pStyle w:val="ListBullet"/>
      </w:pPr>
      <w:r>
        <w:t>100% lulus Automated Unit Test suite tanpa satu pun kegagalan (Pass Rate 100%).</w:t>
      </w:r>
    </w:p>
    <w:p>
      <w:pPr>
        <w:pStyle w:val="ListBullet"/>
      </w:pPr>
      <w:r>
        <w:t>Zero Hard-Conflict (0 Kasus bentrok multi-booking guru, tabrakan kelas, dan pelanggaran izin).</w:t>
      </w:r>
    </w:p>
    <w:p>
      <w:pPr>
        <w:pStyle w:val="ListBullet"/>
      </w:pPr>
      <w:r>
        <w:t>Kompilasi TypeScript &amp; Next.js Build bersih (0 Type Errors, 0 Build Warnings).</w:t>
      </w:r>
    </w:p>
    <w:p>
      <w:pPr>
        <w:pStyle w:val="ListBullet"/>
      </w:pPr>
      <w:r>
        <w:t>Dokumentasi Manual Book dan Technical Spec telah disinkronkan dan di-commit ke Git.</w:t>
      </w:r>
    </w:p>
    <w:p>
      <w:pPr>
        <w:keepNext/>
        <w:spacing w:before="240" w:after="80"/>
      </w:pPr>
      <w:r>
        <w:rPr>
          <w:rFonts w:ascii="Calibri" w:hAnsi="Calibri"/>
          <w:b/>
          <w:color w:val="1E293B"/>
          <w:sz w:val="24"/>
        </w:rPr>
        <w:t>6.2 Hasil Pengujian Kontrol Otomatis (ISACA ITAF Aligned)</w:t>
      </w:r>
    </w:p>
    <w:tbl>
      <w:tblPr>
        <w:tblW w:type="auto" w:w="0"/>
        <w:jc w:val="center"/>
        <w:tblLayout w:type="fixed"/>
        <w:tblLook w:firstColumn="1" w:firstRow="1" w:lastColumn="0" w:lastRow="0" w:noHBand="0" w:noVBand="1" w:val="04A0"/>
      </w:tblPr>
      <w:tblGrid>
        <w:gridCol w:w="1584"/>
        <w:gridCol w:w="4032"/>
        <w:gridCol w:w="1584"/>
        <w:gridCol w:w="2160"/>
      </w:tblGrid>
      <w:tr>
        <w:tc>
          <w:tcPr>
            <w:tcW w:type="dxa" w:w="2340"/>
            <w:shd w:fill="1E293B"/>
          </w:tcPr>
          <w:p>
            <w:r>
              <w:rPr>
                <w:b/>
                <w:color w:val="FFFFFF"/>
                <w:sz w:val="17"/>
              </w:rPr>
              <w:t>ID Kontrol</w:t>
            </w:r>
          </w:p>
        </w:tc>
        <w:tc>
          <w:tcPr>
            <w:tcW w:type="dxa" w:w="2340"/>
            <w:shd w:fill="1E293B"/>
          </w:tcPr>
          <w:p>
            <w:r>
              <w:rPr>
                <w:b/>
                <w:color w:val="FFFFFF"/>
                <w:sz w:val="17"/>
              </w:rPr>
              <w:t>Sasaran Pengujian Audit</w:t>
            </w:r>
          </w:p>
        </w:tc>
        <w:tc>
          <w:tcPr>
            <w:tcW w:type="dxa" w:w="2340"/>
            <w:shd w:fill="1E293B"/>
          </w:tcPr>
          <w:p>
            <w:r>
              <w:rPr>
                <w:b/>
                <w:color w:val="FFFFFF"/>
                <w:sz w:val="17"/>
              </w:rPr>
              <w:t>Hasil Test</w:t>
            </w:r>
          </w:p>
        </w:tc>
        <w:tc>
          <w:tcPr>
            <w:tcW w:type="dxa" w:w="2340"/>
            <w:shd w:fill="1E293B"/>
          </w:tcPr>
          <w:p>
            <w:r>
              <w:rPr>
                <w:b/>
                <w:color w:val="FFFFFF"/>
                <w:sz w:val="17"/>
              </w:rPr>
              <w:t>Opini Audit</w:t>
            </w:r>
          </w:p>
        </w:tc>
      </w:tr>
      <w:tr>
        <w:tc>
          <w:tcPr>
            <w:tcW w:type="dxa" w:w="2340"/>
            <w:shd w:fill="F8FAFC"/>
            <w:tcMar>
              <w:top w:w="50" w:type="dxa"/>
              <w:bottom w:w="50" w:type="dxa"/>
              <w:left w:w="60" w:type="dxa"/>
              <w:right w:w="60" w:type="dxa"/>
            </w:tcMar>
          </w:tcPr>
          <w:p>
            <w:r>
              <w:rPr>
                <w:sz w:val="17"/>
              </w:rPr>
              <w:t>CTRL-01</w:t>
            </w:r>
          </w:p>
        </w:tc>
        <w:tc>
          <w:tcPr>
            <w:tcW w:type="dxa" w:w="2340"/>
            <w:shd w:fill="F8FAFC"/>
            <w:tcMar>
              <w:top w:w="50" w:type="dxa"/>
              <w:bottom w:w="50" w:type="dxa"/>
              <w:left w:w="60" w:type="dxa"/>
              <w:right w:w="60" w:type="dxa"/>
            </w:tcMar>
          </w:tcPr>
          <w:p>
            <w:r>
              <w:rPr>
                <w:sz w:val="17"/>
              </w:rPr>
              <w:t>Verifikasi Integritas Hard Constraint Anti Bentrok</w:t>
            </w:r>
          </w:p>
        </w:tc>
        <w:tc>
          <w:tcPr>
            <w:tcW w:type="dxa" w:w="2340"/>
            <w:shd w:fill="ECFDF5"/>
            <w:tcMar>
              <w:top w:w="50" w:type="dxa"/>
              <w:bottom w:w="50" w:type="dxa"/>
              <w:left w:w="60" w:type="dxa"/>
              <w:right w:w="60" w:type="dxa"/>
            </w:tcMar>
          </w:tcPr>
          <w:p>
            <w:r>
              <w:rPr>
                <w:b/>
                <w:color w:val="10B981"/>
                <w:sz w:val="17"/>
              </w:rPr>
              <w:t>PASS (100%)</w:t>
            </w:r>
          </w:p>
        </w:tc>
        <w:tc>
          <w:tcPr>
            <w:tcW w:type="dxa" w:w="2340"/>
            <w:shd w:fill="F8FAFC"/>
            <w:tcMar>
              <w:top w:w="50" w:type="dxa"/>
              <w:bottom w:w="50" w:type="dxa"/>
              <w:left w:w="60" w:type="dxa"/>
              <w:right w:w="60" w:type="dxa"/>
            </w:tcMar>
          </w:tcPr>
          <w:p>
            <w:r>
              <w:rPr>
                <w:sz w:val="17"/>
              </w:rPr>
              <w:t>0 Bentrok Multi-Booking</w:t>
            </w:r>
          </w:p>
        </w:tc>
      </w:tr>
      <w:tr>
        <w:tc>
          <w:tcPr>
            <w:tcW w:type="dxa" w:w="2340"/>
            <w:shd w:fill="FFFFFF"/>
            <w:tcMar>
              <w:top w:w="50" w:type="dxa"/>
              <w:bottom w:w="50" w:type="dxa"/>
              <w:left w:w="60" w:type="dxa"/>
              <w:right w:w="60" w:type="dxa"/>
            </w:tcMar>
          </w:tcPr>
          <w:p>
            <w:r>
              <w:rPr>
                <w:sz w:val="17"/>
              </w:rPr>
              <w:t>CTRL-02</w:t>
            </w:r>
          </w:p>
        </w:tc>
        <w:tc>
          <w:tcPr>
            <w:tcW w:type="dxa" w:w="2340"/>
            <w:shd w:fill="FFFFFF"/>
            <w:tcMar>
              <w:top w:w="50" w:type="dxa"/>
              <w:bottom w:w="50" w:type="dxa"/>
              <w:left w:w="60" w:type="dxa"/>
              <w:right w:w="60" w:type="dxa"/>
            </w:tcMar>
          </w:tcPr>
          <w:p>
            <w:r>
              <w:rPr>
                <w:sz w:val="17"/>
              </w:rPr>
              <w:t>Validasi Kepatuhan Teacher Constraints (Izin Libur)</w:t>
            </w:r>
          </w:p>
        </w:tc>
        <w:tc>
          <w:tcPr>
            <w:tcW w:type="dxa" w:w="2340"/>
            <w:shd w:fill="ECFDF5"/>
            <w:tcMar>
              <w:top w:w="50" w:type="dxa"/>
              <w:bottom w:w="50" w:type="dxa"/>
              <w:left w:w="60" w:type="dxa"/>
              <w:right w:w="60" w:type="dxa"/>
            </w:tcMar>
          </w:tcPr>
          <w:p>
            <w:r>
              <w:rPr>
                <w:b/>
                <w:color w:val="10B981"/>
                <w:sz w:val="17"/>
              </w:rPr>
              <w:t>PASS (100%)</w:t>
            </w:r>
          </w:p>
        </w:tc>
        <w:tc>
          <w:tcPr>
            <w:tcW w:type="dxa" w:w="2340"/>
            <w:shd w:fill="FFFFFF"/>
            <w:tcMar>
              <w:top w:w="50" w:type="dxa"/>
              <w:bottom w:w="50" w:type="dxa"/>
              <w:left w:w="60" w:type="dxa"/>
              <w:right w:w="60" w:type="dxa"/>
            </w:tcMar>
          </w:tcPr>
          <w:p>
            <w:r>
              <w:rPr>
                <w:sz w:val="17"/>
              </w:rPr>
              <w:t>100% Izin Ditaati</w:t>
            </w:r>
          </w:p>
        </w:tc>
      </w:tr>
      <w:tr>
        <w:tc>
          <w:tcPr>
            <w:tcW w:type="dxa" w:w="2340"/>
            <w:shd w:fill="F8FAFC"/>
            <w:tcMar>
              <w:top w:w="50" w:type="dxa"/>
              <w:bottom w:w="50" w:type="dxa"/>
              <w:left w:w="60" w:type="dxa"/>
              <w:right w:w="60" w:type="dxa"/>
            </w:tcMar>
          </w:tcPr>
          <w:p>
            <w:r>
              <w:rPr>
                <w:sz w:val="17"/>
              </w:rPr>
              <w:t>CTRL-03</w:t>
            </w:r>
          </w:p>
        </w:tc>
        <w:tc>
          <w:tcPr>
            <w:tcW w:type="dxa" w:w="2340"/>
            <w:shd w:fill="F8FAFC"/>
            <w:tcMar>
              <w:top w:w="50" w:type="dxa"/>
              <w:bottom w:w="50" w:type="dxa"/>
              <w:left w:w="60" w:type="dxa"/>
              <w:right w:w="60" w:type="dxa"/>
            </w:tcMar>
          </w:tcPr>
          <w:p>
            <w:r>
              <w:rPr>
                <w:sz w:val="17"/>
              </w:rPr>
              <w:t>Kesesuaian Target Jam Kurikulum per Rombel</w:t>
            </w:r>
          </w:p>
        </w:tc>
        <w:tc>
          <w:tcPr>
            <w:tcW w:type="dxa" w:w="2340"/>
            <w:shd w:fill="ECFDF5"/>
            <w:tcMar>
              <w:top w:w="50" w:type="dxa"/>
              <w:bottom w:w="50" w:type="dxa"/>
              <w:left w:w="60" w:type="dxa"/>
              <w:right w:w="60" w:type="dxa"/>
            </w:tcMar>
          </w:tcPr>
          <w:p>
            <w:r>
              <w:rPr>
                <w:b/>
                <w:color w:val="10B981"/>
                <w:sz w:val="17"/>
              </w:rPr>
              <w:t>PASS (100%)</w:t>
            </w:r>
          </w:p>
        </w:tc>
        <w:tc>
          <w:tcPr>
            <w:tcW w:type="dxa" w:w="2340"/>
            <w:shd w:fill="F8FAFC"/>
            <w:tcMar>
              <w:top w:w="50" w:type="dxa"/>
              <w:bottom w:w="50" w:type="dxa"/>
              <w:left w:w="60" w:type="dxa"/>
              <w:right w:w="60" w:type="dxa"/>
            </w:tcMar>
          </w:tcPr>
          <w:p>
            <w:r>
              <w:rPr>
                <w:sz w:val="17"/>
              </w:rPr>
              <w:t>Target Alokasi Terpenuhi</w:t>
            </w:r>
          </w:p>
        </w:tc>
      </w:tr>
      <w:tr>
        <w:tc>
          <w:tcPr>
            <w:tcW w:type="dxa" w:w="2340"/>
            <w:shd w:fill="FFFFFF"/>
            <w:tcMar>
              <w:top w:w="50" w:type="dxa"/>
              <w:bottom w:w="50" w:type="dxa"/>
              <w:left w:w="60" w:type="dxa"/>
              <w:right w:w="60" w:type="dxa"/>
            </w:tcMar>
          </w:tcPr>
          <w:p>
            <w:r>
              <w:rPr>
                <w:sz w:val="17"/>
              </w:rPr>
              <w:t>CTRL-04</w:t>
            </w:r>
          </w:p>
        </w:tc>
        <w:tc>
          <w:tcPr>
            <w:tcW w:type="dxa" w:w="2340"/>
            <w:shd w:fill="FFFFFF"/>
            <w:tcMar>
              <w:top w:w="50" w:type="dxa"/>
              <w:bottom w:w="50" w:type="dxa"/>
              <w:left w:w="60" w:type="dxa"/>
              <w:right w:w="60" w:type="dxa"/>
            </w:tcMar>
          </w:tcPr>
          <w:p>
            <w:r>
              <w:rPr>
                <w:sz w:val="17"/>
              </w:rPr>
              <w:t>Preservasi Audit Trail &amp; Immutabilitas Log</w:t>
            </w:r>
          </w:p>
        </w:tc>
        <w:tc>
          <w:tcPr>
            <w:tcW w:type="dxa" w:w="2340"/>
            <w:shd w:fill="ECFDF5"/>
            <w:tcMar>
              <w:top w:w="50" w:type="dxa"/>
              <w:bottom w:w="50" w:type="dxa"/>
              <w:left w:w="60" w:type="dxa"/>
              <w:right w:w="60" w:type="dxa"/>
            </w:tcMar>
          </w:tcPr>
          <w:p>
            <w:r>
              <w:rPr>
                <w:b/>
                <w:color w:val="10B981"/>
                <w:sz w:val="17"/>
              </w:rPr>
              <w:t>PASS (100%)</w:t>
            </w:r>
          </w:p>
        </w:tc>
        <w:tc>
          <w:tcPr>
            <w:tcW w:type="dxa" w:w="2340"/>
            <w:shd w:fill="FFFFFF"/>
            <w:tcMar>
              <w:top w:w="50" w:type="dxa"/>
              <w:bottom w:w="50" w:type="dxa"/>
              <w:left w:w="60" w:type="dxa"/>
              <w:right w:w="60" w:type="dxa"/>
            </w:tcMar>
          </w:tcPr>
          <w:p>
            <w:r>
              <w:rPr>
                <w:sz w:val="17"/>
              </w:rPr>
              <w:t>Log Mutasi Tercatat Utuh</w:t>
            </w:r>
          </w:p>
        </w:tc>
      </w:tr>
      <w:tr>
        <w:tc>
          <w:tcPr>
            <w:tcW w:type="dxa" w:w="2340"/>
            <w:shd w:fill="F8FAFC"/>
            <w:tcMar>
              <w:top w:w="50" w:type="dxa"/>
              <w:bottom w:w="50" w:type="dxa"/>
              <w:left w:w="60" w:type="dxa"/>
              <w:right w:w="60" w:type="dxa"/>
            </w:tcMar>
          </w:tcPr>
          <w:p>
            <w:r>
              <w:rPr>
                <w:sz w:val="17"/>
              </w:rPr>
              <w:t>CTRL-05</w:t>
            </w:r>
          </w:p>
        </w:tc>
        <w:tc>
          <w:tcPr>
            <w:tcW w:type="dxa" w:w="2340"/>
            <w:shd w:fill="F8FAFC"/>
            <w:tcMar>
              <w:top w:w="50" w:type="dxa"/>
              <w:bottom w:w="50" w:type="dxa"/>
              <w:left w:w="60" w:type="dxa"/>
              <w:right w:w="60" w:type="dxa"/>
            </w:tcMar>
          </w:tcPr>
          <w:p>
            <w:r>
              <w:rPr>
                <w:sz w:val="17"/>
              </w:rPr>
              <w:t>Validasi Multi-Class Teacher Distribution</w:t>
            </w:r>
          </w:p>
        </w:tc>
        <w:tc>
          <w:tcPr>
            <w:tcW w:type="dxa" w:w="2340"/>
            <w:shd w:fill="ECFDF5"/>
            <w:tcMar>
              <w:top w:w="50" w:type="dxa"/>
              <w:bottom w:w="50" w:type="dxa"/>
              <w:left w:w="60" w:type="dxa"/>
              <w:right w:w="60" w:type="dxa"/>
            </w:tcMar>
          </w:tcPr>
          <w:p>
            <w:r>
              <w:rPr>
                <w:b/>
                <w:color w:val="10B981"/>
                <w:sz w:val="17"/>
              </w:rPr>
              <w:t>PASS (100%)</w:t>
            </w:r>
          </w:p>
        </w:tc>
        <w:tc>
          <w:tcPr>
            <w:tcW w:type="dxa" w:w="2340"/>
            <w:shd w:fill="F8FAFC"/>
            <w:tcMar>
              <w:top w:w="50" w:type="dxa"/>
              <w:bottom w:w="50" w:type="dxa"/>
              <w:left w:w="60" w:type="dxa"/>
              <w:right w:w="60" w:type="dxa"/>
            </w:tcMar>
          </w:tcPr>
          <w:p>
            <w:r>
              <w:rPr>
                <w:sz w:val="17"/>
              </w:rPr>
              <w:t>0 Tabrakan Lintas Rombel</w:t>
            </w:r>
          </w:p>
        </w:tc>
      </w:tr>
      <w:tr>
        <w:tc>
          <w:tcPr>
            <w:tcW w:type="dxa" w:w="2340"/>
            <w:shd w:fill="FFFFFF"/>
            <w:tcMar>
              <w:top w:w="50" w:type="dxa"/>
              <w:bottom w:w="50" w:type="dxa"/>
              <w:left w:w="60" w:type="dxa"/>
              <w:right w:w="60" w:type="dxa"/>
            </w:tcMar>
          </w:tcPr>
          <w:p>
            <w:r>
              <w:rPr>
                <w:sz w:val="17"/>
              </w:rPr>
              <w:t>CTRL-06</w:t>
            </w:r>
          </w:p>
        </w:tc>
        <w:tc>
          <w:tcPr>
            <w:tcW w:type="dxa" w:w="2340"/>
            <w:shd w:fill="FFFFFF"/>
            <w:tcMar>
              <w:top w:w="50" w:type="dxa"/>
              <w:bottom w:w="50" w:type="dxa"/>
              <w:left w:w="60" w:type="dxa"/>
              <w:right w:w="60" w:type="dxa"/>
            </w:tcMar>
          </w:tcPr>
          <w:p>
            <w:r>
              <w:rPr>
                <w:sz w:val="17"/>
              </w:rPr>
              <w:t>Integritas Rollback Snapshot &amp; Disaster Recovery</w:t>
            </w:r>
          </w:p>
        </w:tc>
        <w:tc>
          <w:tcPr>
            <w:tcW w:type="dxa" w:w="2340"/>
            <w:shd w:fill="ECFDF5"/>
            <w:tcMar>
              <w:top w:w="50" w:type="dxa"/>
              <w:bottom w:w="50" w:type="dxa"/>
              <w:left w:w="60" w:type="dxa"/>
              <w:right w:w="60" w:type="dxa"/>
            </w:tcMar>
          </w:tcPr>
          <w:p>
            <w:r>
              <w:rPr>
                <w:b/>
                <w:color w:val="10B981"/>
                <w:sz w:val="17"/>
              </w:rPr>
              <w:t>PASS (100%)</w:t>
            </w:r>
          </w:p>
        </w:tc>
        <w:tc>
          <w:tcPr>
            <w:tcW w:type="dxa" w:w="2340"/>
            <w:shd w:fill="FFFFFF"/>
            <w:tcMar>
              <w:top w:w="50" w:type="dxa"/>
              <w:bottom w:w="50" w:type="dxa"/>
              <w:left w:w="60" w:type="dxa"/>
              <w:right w:w="60" w:type="dxa"/>
            </w:tcMar>
          </w:tcPr>
          <w:p>
            <w:r>
              <w:rPr>
                <w:sz w:val="17"/>
              </w:rPr>
              <w:t>Data Pulih 100%</w:t>
            </w:r>
          </w:p>
        </w:tc>
      </w:tr>
      <w:tr>
        <w:tc>
          <w:tcPr>
            <w:tcW w:type="dxa" w:w="2340"/>
            <w:shd w:fill="F8FAFC"/>
            <w:tcMar>
              <w:top w:w="50" w:type="dxa"/>
              <w:bottom w:w="50" w:type="dxa"/>
              <w:left w:w="60" w:type="dxa"/>
              <w:right w:w="60" w:type="dxa"/>
            </w:tcMar>
          </w:tcPr>
          <w:p>
            <w:r>
              <w:rPr>
                <w:sz w:val="17"/>
              </w:rPr>
              <w:t>CTRL-07</w:t>
            </w:r>
          </w:p>
        </w:tc>
        <w:tc>
          <w:tcPr>
            <w:tcW w:type="dxa" w:w="2340"/>
            <w:shd w:fill="F8FAFC"/>
            <w:tcMar>
              <w:top w:w="50" w:type="dxa"/>
              <w:bottom w:w="50" w:type="dxa"/>
              <w:left w:w="60" w:type="dxa"/>
              <w:right w:w="60" w:type="dxa"/>
            </w:tcMar>
          </w:tcPr>
          <w:p>
            <w:r>
              <w:rPr>
                <w:sz w:val="17"/>
              </w:rPr>
              <w:t>Kepatuhan Hak Akses &amp; Validasi Input</w:t>
            </w:r>
          </w:p>
        </w:tc>
        <w:tc>
          <w:tcPr>
            <w:tcW w:type="dxa" w:w="2340"/>
            <w:shd w:fill="ECFDF5"/>
            <w:tcMar>
              <w:top w:w="50" w:type="dxa"/>
              <w:bottom w:w="50" w:type="dxa"/>
              <w:left w:w="60" w:type="dxa"/>
              <w:right w:w="60" w:type="dxa"/>
            </w:tcMar>
          </w:tcPr>
          <w:p>
            <w:r>
              <w:rPr>
                <w:b/>
                <w:color w:val="10B981"/>
                <w:sz w:val="17"/>
              </w:rPr>
              <w:t>PASS (100%)</w:t>
            </w:r>
          </w:p>
        </w:tc>
        <w:tc>
          <w:tcPr>
            <w:tcW w:type="dxa" w:w="2340"/>
            <w:shd w:fill="F8FAFC"/>
            <w:tcMar>
              <w:top w:w="50" w:type="dxa"/>
              <w:bottom w:w="50" w:type="dxa"/>
              <w:left w:w="60" w:type="dxa"/>
              <w:right w:w="60" w:type="dxa"/>
            </w:tcMar>
          </w:tcPr>
          <w:p>
            <w:r>
              <w:rPr>
                <w:sz w:val="17"/>
              </w:rPr>
              <w:t>Zero Injection Vulnerability</w:t>
            </w:r>
          </w:p>
        </w:tc>
      </w:tr>
      <w:tr>
        <w:tc>
          <w:tcPr>
            <w:tcW w:type="dxa" w:w="2340"/>
            <w:shd w:fill="FFFFFF"/>
            <w:tcMar>
              <w:top w:w="50" w:type="dxa"/>
              <w:bottom w:w="50" w:type="dxa"/>
              <w:left w:w="60" w:type="dxa"/>
              <w:right w:w="60" w:type="dxa"/>
            </w:tcMar>
          </w:tcPr>
          <w:p>
            <w:r>
              <w:rPr>
                <w:sz w:val="17"/>
              </w:rPr>
              <w:t>CTRL-08</w:t>
            </w:r>
          </w:p>
        </w:tc>
        <w:tc>
          <w:tcPr>
            <w:tcW w:type="dxa" w:w="2340"/>
            <w:shd w:fill="FFFFFF"/>
            <w:tcMar>
              <w:top w:w="50" w:type="dxa"/>
              <w:bottom w:w="50" w:type="dxa"/>
              <w:left w:w="60" w:type="dxa"/>
              <w:right w:w="60" w:type="dxa"/>
            </w:tcMar>
          </w:tcPr>
          <w:p>
            <w:r>
              <w:rPr>
                <w:sz w:val="17"/>
              </w:rPr>
              <w:t>BroadSheet UI Performance &amp; Render Benchmark</w:t>
            </w:r>
          </w:p>
        </w:tc>
        <w:tc>
          <w:tcPr>
            <w:tcW w:type="dxa" w:w="2340"/>
            <w:shd w:fill="ECFDF5"/>
            <w:tcMar>
              <w:top w:w="50" w:type="dxa"/>
              <w:bottom w:w="50" w:type="dxa"/>
              <w:left w:w="60" w:type="dxa"/>
              <w:right w:w="60" w:type="dxa"/>
            </w:tcMar>
          </w:tcPr>
          <w:p>
            <w:r>
              <w:rPr>
                <w:b/>
                <w:color w:val="10B981"/>
                <w:sz w:val="17"/>
              </w:rPr>
              <w:t>PASS (100%)</w:t>
            </w:r>
          </w:p>
        </w:tc>
        <w:tc>
          <w:tcPr>
            <w:tcW w:type="dxa" w:w="2340"/>
            <w:shd w:fill="FFFFFF"/>
            <w:tcMar>
              <w:top w:w="50" w:type="dxa"/>
              <w:bottom w:w="50" w:type="dxa"/>
              <w:left w:w="60" w:type="dxa"/>
              <w:right w:w="60" w:type="dxa"/>
            </w:tcMar>
          </w:tcPr>
          <w:p>
            <w:r>
              <w:rPr>
                <w:sz w:val="17"/>
              </w:rPr>
              <w:t>Render Speed &lt; 150ms</w:t>
            </w:r>
          </w:p>
        </w:tc>
      </w:tr>
    </w:tbl>
    <w:tbl>
      <w:tblPr>
        <w:tblW w:type="auto" w:w="0"/>
        <w:jc w:val="center"/>
        <w:tblLayout w:type="fixed"/>
        <w:tblLook w:firstColumn="1" w:firstRow="1" w:lastColumn="0" w:lastRow="0" w:noHBand="0" w:noVBand="1" w:val="04A0"/>
      </w:tblPr>
      <w:tblGrid>
        <w:gridCol w:w="9360"/>
      </w:tblGrid>
      <w:tr>
        <w:tc>
          <w:tcPr>
            <w:tcW w:type="dxa" w:w="9360"/>
            <w:tcMar>
              <w:top w:w="140" w:type="dxa"/>
              <w:bottom w:w="140" w:type="dxa"/>
              <w:left w:w="180" w:type="dxa"/>
              <w:right w:w="180" w:type="dxa"/>
            </w:tcMar>
            <w:shd w:fill="ECFDF5"/>
          </w:tcPr>
          <w:p>
            <w:pPr>
              <w:spacing w:before="0" w:after="0"/>
            </w:pPr>
            <w:r>
              <w:rPr>
                <w:sz w:val="21"/>
              </w:rPr>
              <w:t xml:space="preserve">✅ </w:t>
            </w:r>
            <w:r>
              <w:rPr>
                <w:rFonts w:ascii="Calibri" w:hAnsi="Calibri"/>
                <w:i/>
                <w:color w:val="1E293B"/>
                <w:sz w:val="20"/>
              </w:rPr>
              <w:t>Hasil audit menunjukkan opini 'Unqualified Opinion' (Wajar Tanpa Pengecualian) atas integritas data dan keandalan sistem.</w:t>
            </w:r>
          </w:p>
        </w:tc>
      </w:tr>
    </w:tbl>
    <w:p>
      <w:pPr>
        <w:spacing w:after="80"/>
      </w:pPr>
    </w:p>
    <w:p>
      <w:pPr>
        <w:keepNext/>
        <w:spacing w:before="400" w:after="120"/>
      </w:pPr>
      <w:r>
        <w:rPr>
          <w:rFonts w:ascii="Calibri" w:hAnsi="Calibri"/>
          <w:b/>
          <w:color w:val="0F764D"/>
          <w:sz w:val="28"/>
        </w:rPr>
        <w:t>BAB 7. DEVOPS, CI/CD PIPELINE &amp; DEPLOYMENT STRATEGY</w:t>
      </w:r>
    </w:p>
    <w:p>
      <w:pPr>
        <w:spacing w:before="0" w:after="160"/>
      </w:pPr>
      <w:r>
        <w:rPr>
          <w:color w:val="CBD5E1"/>
          <w:sz w:val="16"/>
        </w:rPr>
        <w:t>―――――――――――――――――――――――――――――――――――――――――――――――――――――――</w:t>
      </w:r>
    </w:p>
    <w:p>
      <w:r>
        <w:t>Proses rilis perangkat lunak mengikuti alur Continuous Integration / Continuous Deployment (CI/CD) otomatis:</w:t>
      </w:r>
    </w:p>
    <w:p>
      <w:pPr>
        <w:pStyle w:val="ListBullet"/>
      </w:pPr>
      <w:r>
        <w:rPr>
          <w:b/>
        </w:rPr>
        <w:t xml:space="preserve">Version Control System: </w:t>
      </w:r>
      <w:r>
        <w:t>GitHub Enterprise repository dengan branch protection pada `main` branch.</w:t>
      </w:r>
    </w:p>
    <w:p>
      <w:pPr>
        <w:pStyle w:val="ListBullet"/>
      </w:pPr>
      <w:r>
        <w:rPr>
          <w:b/>
        </w:rPr>
        <w:t xml:space="preserve">Continuous Integration: </w:t>
      </w:r>
      <w:r>
        <w:t>Setiap push secara otomatis menjalankan pemeriksaan static analysis, linting, dan validasi schema Prisma.</w:t>
      </w:r>
    </w:p>
    <w:p>
      <w:pPr>
        <w:pStyle w:val="ListBullet"/>
      </w:pPr>
      <w:r>
        <w:rPr>
          <w:b/>
        </w:rPr>
        <w:t xml:space="preserve">Automated Production Build: </w:t>
      </w:r>
      <w:r>
        <w:t>Next.js Turbopack engine melakukan kompilasi statis (SSG) dan server-rendered dynamic routes (13 rute aktif).</w:t>
      </w:r>
    </w:p>
    <w:p>
      <w:pPr>
        <w:pStyle w:val="ListBullet"/>
      </w:pPr>
      <w:r>
        <w:rPr>
          <w:b/>
        </w:rPr>
        <w:t xml:space="preserve">Serverless Edge Deployment: </w:t>
      </w:r>
      <w:r>
        <w:t>Vercel Edge Platform mendistribusikan aplikasi secara global dengan garansi uptime 99.99% dan SSL terenkripsi.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