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0pnsqgxjytd" w:id="0"/>
      <w:bookmarkEnd w:id="0"/>
      <w:r w:rsidDel="00000000" w:rsidR="00000000" w:rsidRPr="00000000">
        <w:rPr>
          <w:b w:val="1"/>
          <w:sz w:val="46"/>
          <w:szCs w:val="46"/>
          <w:rtl w:val="1"/>
        </w:rPr>
        <w:t xml:space="preserve">وثيقة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اختبار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اللغة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العربية</w:t>
      </w:r>
      <w:r w:rsidDel="00000000" w:rsidR="00000000" w:rsidRPr="00000000">
        <w:rPr>
          <w:b w:val="1"/>
          <w:sz w:val="46"/>
          <w:szCs w:val="46"/>
          <w:rtl w:val="1"/>
        </w:rPr>
        <w:t xml:space="preserve"> -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التكنولوجيا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والبيئة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والثقافة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q8e6hlq5arz" w:id="1"/>
      <w:bookmarkEnd w:id="1"/>
      <w:r w:rsidDel="00000000" w:rsidR="00000000" w:rsidRPr="00000000">
        <w:rPr>
          <w:b w:val="1"/>
          <w:sz w:val="34"/>
          <w:szCs w:val="34"/>
          <w:rtl w:val="1"/>
        </w:rPr>
        <w:t xml:space="preserve">الفصل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الأول</w:t>
      </w:r>
      <w:r w:rsidDel="00000000" w:rsidR="00000000" w:rsidRPr="00000000">
        <w:rPr>
          <w:b w:val="1"/>
          <w:sz w:val="34"/>
          <w:szCs w:val="34"/>
          <w:rtl w:val="1"/>
        </w:rPr>
        <w:t xml:space="preserve">: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الذكاء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الاصطناعي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والمجتمع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العربي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1"/>
        </w:rPr>
        <w:t xml:space="preserve">يشهد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تطورا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ملحوظا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الاصطناعي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تسعى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التقنيات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الحديثة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الاقتصاد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الإمارات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المتحدة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إطلاق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استراتيجية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الإمارات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الاصطناعي</w:t>
      </w:r>
      <w:r w:rsidDel="00000000" w:rsidR="00000000" w:rsidRPr="00000000">
        <w:rPr>
          <w:rtl w:val="1"/>
        </w:rPr>
        <w:t xml:space="preserve"> 2031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الإمارات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الرائدة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عالميا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تستثمر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المملكة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السعودية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الدولارات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مشاريع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الاصطناعي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رؤية</w:t>
      </w:r>
      <w:r w:rsidDel="00000000" w:rsidR="00000000" w:rsidRPr="00000000">
        <w:rPr>
          <w:rtl w:val="0"/>
        </w:rPr>
        <w:t xml:space="preserve"> 2030.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الاصطناعي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الرعاية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الحكومية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الاصطناعي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تشخيص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مبكرا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وتحليل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لتخصيص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احتياجات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الاصطناعي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المتخصصة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التحتية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وضرورة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التقنيات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تثار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قضايا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أخلاقية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الخصوصية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تزايد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الاصطناعي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swxzttm8jfh" w:id="2"/>
      <w:bookmarkEnd w:id="2"/>
      <w:r w:rsidDel="00000000" w:rsidR="00000000" w:rsidRPr="00000000">
        <w:rPr>
          <w:b w:val="1"/>
          <w:sz w:val="34"/>
          <w:szCs w:val="34"/>
          <w:rtl w:val="1"/>
        </w:rPr>
        <w:t xml:space="preserve">الفصل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الثاني</w:t>
      </w:r>
      <w:r w:rsidDel="00000000" w:rsidR="00000000" w:rsidRPr="00000000">
        <w:rPr>
          <w:b w:val="1"/>
          <w:sz w:val="34"/>
          <w:szCs w:val="34"/>
          <w:rtl w:val="1"/>
        </w:rPr>
        <w:t xml:space="preserve">: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التغير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المناخي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والبيئة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في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المنطقة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العربية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1"/>
        </w:rPr>
        <w:t xml:space="preserve">تعتبر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تأثرا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بالتغير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المناخي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تشير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بمقدار</w:t>
      </w:r>
      <w:r w:rsidDel="00000000" w:rsidR="00000000" w:rsidRPr="00000000">
        <w:rPr>
          <w:rtl w:val="1"/>
        </w:rPr>
        <w:t xml:space="preserve"> 4-5 </w:t>
      </w:r>
      <w:r w:rsidDel="00000000" w:rsidR="00000000" w:rsidRPr="00000000">
        <w:rPr>
          <w:rtl w:val="1"/>
        </w:rPr>
        <w:t xml:space="preserve">درجات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مئوية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عاجلة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انبعاثات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الاحتباس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الحراري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1"/>
        </w:rPr>
        <w:t xml:space="preserve">يؤثر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المناخي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تراجعا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مستمرا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وتزداد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الجفاف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مناطق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انخفضت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معدلات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الأمطار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بنسبة</w:t>
      </w:r>
      <w:r w:rsidDel="00000000" w:rsidR="00000000" w:rsidRPr="00000000">
        <w:rPr>
          <w:rtl w:val="1"/>
        </w:rPr>
        <w:t xml:space="preserve"> 20%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الماضية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الزراعة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الغذائي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الخليج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العذبة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1"/>
        </w:rPr>
        <w:t xml:space="preserve">الزراعة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المناخي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الملوحة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وانتشار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الزراعية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يهدد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النيل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البلاد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المغرب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تؤثر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الجفاف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المتكررة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الحبوب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والزيتون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1"/>
        </w:rPr>
        <w:t xml:space="preserve">لمواجهة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التحديات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تتبنى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استراتيجيات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الاستثمار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المتجددة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تقنيات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تأهيل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المتدهورة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الإمارات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الكربوني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بحلول</w:t>
      </w:r>
      <w:r w:rsidDel="00000000" w:rsidR="00000000" w:rsidRPr="00000000">
        <w:rPr>
          <w:rtl w:val="1"/>
        </w:rPr>
        <w:t xml:space="preserve"> 2050، </w:t>
      </w:r>
      <w:r w:rsidDel="00000000" w:rsidR="00000000" w:rsidRPr="00000000">
        <w:rPr>
          <w:rtl w:val="1"/>
        </w:rPr>
        <w:t xml:space="preserve">بينما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تستثمر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المملكة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السعودية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مشاريع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ضخمة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الشمسية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الرياح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m469volfpi3" w:id="3"/>
      <w:bookmarkEnd w:id="3"/>
      <w:r w:rsidDel="00000000" w:rsidR="00000000" w:rsidRPr="00000000">
        <w:rPr>
          <w:b w:val="1"/>
          <w:sz w:val="34"/>
          <w:szCs w:val="34"/>
          <w:rtl w:val="1"/>
        </w:rPr>
        <w:t xml:space="preserve">الفصل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الثالث</w:t>
      </w:r>
      <w:r w:rsidDel="00000000" w:rsidR="00000000" w:rsidRPr="00000000">
        <w:rPr>
          <w:b w:val="1"/>
          <w:sz w:val="34"/>
          <w:szCs w:val="34"/>
          <w:rtl w:val="1"/>
        </w:rPr>
        <w:t xml:space="preserve">: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التراث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الثقافي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والتطور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التكنولوجي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1"/>
        </w:rPr>
        <w:t xml:space="preserve">يحتل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الثقافي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الحضارة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الإنسانية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ويشمل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الأثرية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الفنون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التقليدية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الأدب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والموسيقى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تسعى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تراثها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الثقافي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وتطويره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التقنيات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الحديثة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تقنيات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الضوئي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الأبعاد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الأثرية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وحفظها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رقميا</w:t>
      </w:r>
      <w:r w:rsidDel="00000000" w:rsidR="00000000" w:rsidRPr="00000000">
        <w:rPr>
          <w:rtl w:val="1"/>
        </w:rPr>
        <w:t xml:space="preserve">ً.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الأردن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الأبعاد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لمدينة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البتراء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الأثرية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للأجيال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للزوار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استكشافها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افتراضيا</w:t>
      </w:r>
      <w:r w:rsidDel="00000000" w:rsidR="00000000" w:rsidRPr="00000000">
        <w:rPr>
          <w:rtl w:val="1"/>
        </w:rPr>
        <w:t xml:space="preserve">ً.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تقنيات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المعزز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المتاحف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لتوفير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تفاعلية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للزوار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تقنيات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النصوص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الكلاسيكية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أنماط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أسلوبية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الاصطناعي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الثقافة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عالميا</w:t>
      </w:r>
      <w:r w:rsidDel="00000000" w:rsidR="00000000" w:rsidRPr="00000000">
        <w:rPr>
          <w:rtl w:val="0"/>
        </w:rPr>
        <w:t xml:space="preserve">ً.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1"/>
        </w:rPr>
        <w:t xml:space="preserve">الموسيقى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التقليدية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التكنولوجي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الموسيقي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لدراسة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الموسيقي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لبنان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أرشيف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للموسيقى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الكلاسيكية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يضم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التسجيلات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النادرة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رقميا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الإلكترونية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لتدريس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والتراث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الثقافي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الثقافية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وتطويرها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بطلاقة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2nctb7v6lk3" w:id="4"/>
      <w:bookmarkEnd w:id="4"/>
      <w:r w:rsidDel="00000000" w:rsidR="00000000" w:rsidRPr="00000000">
        <w:rPr>
          <w:b w:val="1"/>
          <w:sz w:val="34"/>
          <w:szCs w:val="34"/>
          <w:rtl w:val="1"/>
        </w:rPr>
        <w:t xml:space="preserve">الخاتمة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1"/>
        </w:rPr>
        <w:t xml:space="preserve">تواجه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والثقافة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لكنها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تتمتع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بإمكانيات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والنمو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التحديات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تعاونا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إقليميا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ودوليا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واستثمارا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العلمي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الاقتصادية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والاجتماعية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والبيئية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الاستثمار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الاصطناعي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الحديثة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الثقافي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المستدامة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للأجيال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القادمة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المناخي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عاجلة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وفعالة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