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93D499">
      <w:pPr>
        <w:spacing w:after="80"/>
        <w:jc w:val="center"/>
        <w:rPr>
          <w:rFonts w:ascii="宋体" w:hAnsi="宋体" w:eastAsia="宋体"/>
        </w:rPr>
      </w:pPr>
      <w:r>
        <w:rPr>
          <w:rFonts w:ascii="宋体" w:hAnsi="宋体" w:eastAsia="宋体"/>
          <w:b/>
          <w:color w:val="1F4E79"/>
          <w:sz w:val="26"/>
        </w:rPr>
        <w:t>实习题</w:t>
      </w:r>
      <w:r>
        <w:rPr>
          <w:rFonts w:hint="eastAsia" w:ascii="宋体" w:hAnsi="宋体" w:eastAsia="宋体" w:cs="宋体"/>
          <w:b/>
          <w:color w:val="1F4E79"/>
          <w:sz w:val="26"/>
        </w:rPr>
        <w:t>目</w:t>
      </w:r>
    </w:p>
    <w:p w14:paraId="153E993B">
      <w:pPr>
        <w:spacing w:after="60" w:line="252" w:lineRule="auto"/>
        <w:jc w:val="center"/>
        <w:rPr>
          <w:rFonts w:ascii="宋体" w:hAnsi="宋体" w:eastAsia="宋体"/>
          <w:b/>
          <w:sz w:val="36"/>
        </w:rPr>
      </w:pPr>
      <w:r>
        <w:rPr>
          <w:rFonts w:ascii="宋体" w:hAnsi="宋体" w:eastAsia="宋体"/>
          <w:b/>
          <w:sz w:val="36"/>
        </w:rPr>
        <w:t>寻找大模型里的“关键参数”：</w:t>
      </w:r>
    </w:p>
    <w:p w14:paraId="79AD041A">
      <w:pPr>
        <w:spacing w:after="60" w:line="252" w:lineRule="auto"/>
        <w:jc w:val="center"/>
        <w:rPr>
          <w:rFonts w:ascii="宋体" w:hAnsi="宋体" w:eastAsia="宋体"/>
          <w:b/>
          <w:sz w:val="36"/>
        </w:rPr>
      </w:pPr>
      <w:r>
        <w:rPr>
          <w:rFonts w:ascii="宋体" w:hAnsi="宋体" w:eastAsia="宋体"/>
          <w:b/>
          <w:sz w:val="36"/>
        </w:rPr>
        <w:t>可学习曲率代理的建模与验证</w:t>
      </w:r>
    </w:p>
    <w:p w14:paraId="114FA0DD">
      <w:pPr>
        <w:spacing w:after="60" w:line="252" w:lineRule="auto"/>
        <w:jc w:val="center"/>
        <w:rPr>
          <w:rFonts w:ascii="宋体" w:hAnsi="宋体" w:eastAsia="宋体"/>
          <w:b/>
          <w:sz w:val="36"/>
        </w:rPr>
      </w:pPr>
      <w:r>
        <w:rPr>
          <w:rFonts w:hint="eastAsia" w:ascii="宋体" w:hAnsi="宋体" w:eastAsia="宋体"/>
          <w:b/>
          <w:sz w:val="36"/>
        </w:rPr>
        <w:t>（</w:t>
      </w:r>
      <w:r>
        <w:rPr>
          <w:rFonts w:hint="eastAsia" w:ascii="宋体" w:hAnsi="宋体" w:eastAsia="宋体"/>
          <w:b/>
          <w:sz w:val="32"/>
          <w:szCs w:val="21"/>
        </w:rPr>
        <w:t>正式提法：</w:t>
      </w:r>
      <w:r>
        <w:rPr>
          <w:rFonts w:ascii="宋体" w:hAnsi="宋体" w:eastAsia="宋体"/>
          <w:b/>
          <w:sz w:val="32"/>
          <w:szCs w:val="21"/>
        </w:rPr>
        <w:t>面向大模型参数重要性分析的可学习曲率代理：突破 Fisher 近似瓶颈的建模与实验验</w:t>
      </w:r>
      <w:r>
        <w:rPr>
          <w:rFonts w:hint="eastAsia" w:ascii="宋体" w:hAnsi="宋体" w:eastAsia="宋体" w:cs="宋体"/>
          <w:b/>
          <w:sz w:val="32"/>
          <w:szCs w:val="21"/>
        </w:rPr>
        <w:t>证</w:t>
      </w:r>
      <w:r>
        <w:rPr>
          <w:rFonts w:hint="eastAsia" w:ascii="宋体" w:hAnsi="宋体" w:eastAsia="宋体" w:cs="宋体"/>
          <w:b/>
          <w:sz w:val="36"/>
        </w:rPr>
        <w:t>）</w:t>
      </w:r>
    </w:p>
    <w:p w14:paraId="36DB095D">
      <w:pPr>
        <w:jc w:val="center"/>
        <w:rPr>
          <w:rFonts w:ascii="宋体" w:hAnsi="宋体" w:eastAsia="宋体"/>
          <w:color w:val="5F5F5F"/>
          <w:sz w:val="18"/>
        </w:rPr>
      </w:pPr>
      <w:r>
        <w:rPr>
          <w:rFonts w:ascii="宋体" w:hAnsi="宋体" w:eastAsia="宋体"/>
          <w:color w:val="5F5F5F"/>
          <w:sz w:val="18"/>
        </w:rPr>
        <w:t>研究方向：大模型机理分析</w:t>
      </w:r>
      <w:r>
        <w:rPr>
          <w:rFonts w:hint="eastAsia" w:ascii="宋体" w:hAnsi="宋体" w:eastAsia="宋体"/>
          <w:color w:val="5F5F5F"/>
          <w:sz w:val="18"/>
        </w:rPr>
        <w:t>；</w:t>
      </w:r>
      <w:r>
        <w:rPr>
          <w:rFonts w:ascii="宋体" w:hAnsi="宋体" w:eastAsia="宋体"/>
          <w:color w:val="5F5F5F"/>
          <w:sz w:val="18"/>
        </w:rPr>
        <w:t xml:space="preserve"> 参数重要性评估</w:t>
      </w:r>
      <w:r>
        <w:rPr>
          <w:rFonts w:hint="eastAsia" w:ascii="宋体" w:hAnsi="宋体" w:eastAsia="宋体"/>
          <w:color w:val="5F5F5F"/>
          <w:sz w:val="18"/>
        </w:rPr>
        <w:t>；</w:t>
      </w:r>
      <w:r>
        <w:rPr>
          <w:rFonts w:ascii="宋体" w:hAnsi="宋体" w:eastAsia="宋体"/>
          <w:color w:val="5F5F5F"/>
          <w:sz w:val="18"/>
        </w:rPr>
        <w:t xml:space="preserve"> 二阶曲率代理</w:t>
      </w:r>
      <w:r>
        <w:rPr>
          <w:rFonts w:hint="eastAsia" w:ascii="宋体" w:hAnsi="宋体" w:eastAsia="宋体"/>
          <w:color w:val="5F5F5F"/>
          <w:sz w:val="18"/>
        </w:rPr>
        <w:t>；</w:t>
      </w:r>
      <w:r>
        <w:rPr>
          <w:rFonts w:ascii="宋体" w:hAnsi="宋体" w:eastAsia="宋体"/>
          <w:color w:val="5F5F5F"/>
          <w:sz w:val="18"/>
        </w:rPr>
        <w:t xml:space="preserve"> SHAPLEY-</w:t>
      </w:r>
      <w:r>
        <w:rPr>
          <w:rFonts w:hint="eastAsia" w:ascii="宋体" w:hAnsi="宋体" w:eastAsia="宋体"/>
          <w:color w:val="5F5F5F"/>
          <w:sz w:val="18"/>
        </w:rPr>
        <w:t>值近似</w:t>
      </w:r>
    </w:p>
    <w:tbl>
      <w:tblPr>
        <w:tblStyle w:val="2"/>
        <w:tblW w:w="8733" w:type="dxa"/>
        <w:jc w:val="center"/>
        <w:tblLayout w:type="fixed"/>
        <w:tblCellMar>
          <w:top w:w="0" w:type="dxa"/>
          <w:left w:w="108" w:type="dxa"/>
          <w:bottom w:w="0" w:type="dxa"/>
          <w:right w:w="108" w:type="dxa"/>
        </w:tblCellMar>
      </w:tblPr>
      <w:tblGrid>
        <w:gridCol w:w="1814"/>
        <w:gridCol w:w="6919"/>
      </w:tblGrid>
      <w:tr w14:paraId="341F31C7">
        <w:trPr>
          <w:jc w:val="center"/>
        </w:trPr>
        <w:tc>
          <w:tcPr>
            <w:tcW w:w="1814" w:type="dxa"/>
            <w:tcBorders>
              <w:top w:val="single" w:color="D9E2F3" w:sz="6" w:space="0"/>
              <w:left w:val="single" w:color="D9E2F3" w:sz="6" w:space="0"/>
              <w:bottom w:val="single" w:color="D9E2F3" w:sz="6" w:space="0"/>
              <w:right w:val="single" w:color="D9E2F3" w:sz="6" w:space="0"/>
            </w:tcBorders>
            <w:shd w:val="clear" w:color="auto" w:fill="EDF4FB"/>
            <w:tcMar>
              <w:top w:w="80" w:type="dxa"/>
              <w:left w:w="110" w:type="dxa"/>
              <w:bottom w:w="80" w:type="dxa"/>
              <w:right w:w="110" w:type="dxa"/>
            </w:tcMar>
            <w:vAlign w:val="center"/>
          </w:tcPr>
          <w:p w14:paraId="7C6F7E7E">
            <w:pPr>
              <w:jc w:val="center"/>
              <w:rPr>
                <w:rFonts w:ascii="宋体" w:hAnsi="宋体" w:eastAsia="宋体"/>
              </w:rPr>
            </w:pPr>
            <w:r>
              <w:rPr>
                <w:rFonts w:ascii="宋体" w:hAnsi="宋体" w:eastAsia="宋体"/>
                <w:b/>
                <w:color w:val="1F4E79"/>
                <w:sz w:val="20"/>
              </w:rPr>
              <w:t>建议周</w:t>
            </w:r>
            <w:r>
              <w:rPr>
                <w:rFonts w:hint="eastAsia" w:ascii="宋体" w:hAnsi="宋体" w:eastAsia="宋体" w:cs="宋体"/>
                <w:b/>
                <w:color w:val="1F4E79"/>
                <w:sz w:val="20"/>
              </w:rPr>
              <w:t>期</w:t>
            </w:r>
          </w:p>
        </w:tc>
        <w:tc>
          <w:tcPr>
            <w:tcW w:w="6919" w:type="dxa"/>
            <w:tcBorders>
              <w:top w:val="single" w:color="D9E2F3" w:sz="6" w:space="0"/>
              <w:left w:val="single" w:color="D9E2F3" w:sz="6" w:space="0"/>
              <w:bottom w:val="single" w:color="D9E2F3" w:sz="6" w:space="0"/>
              <w:right w:val="single" w:color="D9E2F3" w:sz="6" w:space="0"/>
            </w:tcBorders>
            <w:shd w:val="clear" w:color="auto" w:fill="FAFCFF"/>
            <w:tcMar>
              <w:top w:w="80" w:type="dxa"/>
              <w:left w:w="110" w:type="dxa"/>
              <w:bottom w:w="80" w:type="dxa"/>
              <w:right w:w="110" w:type="dxa"/>
            </w:tcMar>
            <w:vAlign w:val="center"/>
          </w:tcPr>
          <w:p w14:paraId="5C549684">
            <w:r>
              <w:rPr>
                <w:rFonts w:hint="eastAsia" w:ascii="宋体" w:hAnsi="宋体" w:eastAsia="宋体" w:cs="宋体"/>
                <w:sz w:val="20"/>
              </w:rPr>
              <w:t>约</w:t>
            </w:r>
            <w:r>
              <w:rPr>
                <w:sz w:val="20"/>
              </w:rPr>
              <w:t>40</w:t>
            </w:r>
            <w:r>
              <w:rPr>
                <w:rFonts w:hint="eastAsia" w:ascii="宋体" w:hAnsi="宋体" w:eastAsia="宋体" w:cs="宋体"/>
                <w:sz w:val="20"/>
              </w:rPr>
              <w:t>天</w:t>
            </w:r>
          </w:p>
        </w:tc>
      </w:tr>
      <w:tr w14:paraId="7B7BA33A">
        <w:trPr>
          <w:jc w:val="center"/>
        </w:trPr>
        <w:tc>
          <w:tcPr>
            <w:tcW w:w="1814" w:type="dxa"/>
            <w:tcBorders>
              <w:top w:val="single" w:color="D9E2F3" w:sz="6" w:space="0"/>
              <w:left w:val="single" w:color="D9E2F3" w:sz="6" w:space="0"/>
              <w:bottom w:val="single" w:color="D9E2F3" w:sz="6" w:space="0"/>
              <w:right w:val="single" w:color="D9E2F3" w:sz="6" w:space="0"/>
            </w:tcBorders>
            <w:shd w:val="clear" w:color="auto" w:fill="EDF4FB"/>
            <w:tcMar>
              <w:top w:w="80" w:type="dxa"/>
              <w:left w:w="110" w:type="dxa"/>
              <w:bottom w:w="80" w:type="dxa"/>
              <w:right w:w="110" w:type="dxa"/>
            </w:tcMar>
            <w:vAlign w:val="center"/>
          </w:tcPr>
          <w:p w14:paraId="2BC56162">
            <w:pPr>
              <w:jc w:val="center"/>
              <w:rPr>
                <w:rFonts w:ascii="宋体" w:hAnsi="宋体" w:eastAsia="宋体"/>
              </w:rPr>
            </w:pPr>
            <w:r>
              <w:rPr>
                <w:rFonts w:hint="eastAsia" w:ascii="宋体" w:hAnsi="宋体" w:eastAsia="宋体" w:cs="宋体"/>
                <w:b/>
                <w:color w:val="1F4E79"/>
                <w:sz w:val="20"/>
              </w:rPr>
              <w:t>研究对象</w:t>
            </w:r>
          </w:p>
        </w:tc>
        <w:tc>
          <w:tcPr>
            <w:tcW w:w="6919" w:type="dxa"/>
            <w:tcBorders>
              <w:top w:val="single" w:color="D9E2F3" w:sz="6" w:space="0"/>
              <w:left w:val="single" w:color="D9E2F3" w:sz="6" w:space="0"/>
              <w:bottom w:val="single" w:color="D9E2F3" w:sz="6" w:space="0"/>
              <w:right w:val="single" w:color="D9E2F3" w:sz="6" w:space="0"/>
            </w:tcBorders>
            <w:shd w:val="clear" w:color="auto" w:fill="FAFCFF"/>
            <w:tcMar>
              <w:top w:w="80" w:type="dxa"/>
              <w:left w:w="110" w:type="dxa"/>
              <w:bottom w:w="80" w:type="dxa"/>
              <w:right w:w="110" w:type="dxa"/>
            </w:tcMar>
            <w:vAlign w:val="center"/>
          </w:tcPr>
          <w:p w14:paraId="4E35A805">
            <w:r>
              <w:rPr>
                <w:sz w:val="20"/>
              </w:rPr>
              <w:t>MODEL SHAPLEY</w:t>
            </w:r>
            <w:r>
              <w:rPr>
                <w:rFonts w:hint="eastAsia" w:ascii="宋体" w:hAnsi="宋体" w:eastAsia="宋体" w:cs="宋体"/>
                <w:sz w:val="20"/>
              </w:rPr>
              <w:t>中的二阶曲率估计模块</w:t>
            </w:r>
          </w:p>
        </w:tc>
      </w:tr>
      <w:tr w14:paraId="38A01803">
        <w:trPr>
          <w:jc w:val="center"/>
        </w:trPr>
        <w:tc>
          <w:tcPr>
            <w:tcW w:w="1814" w:type="dxa"/>
            <w:tcBorders>
              <w:top w:val="single" w:color="D9E2F3" w:sz="6" w:space="0"/>
              <w:left w:val="single" w:color="D9E2F3" w:sz="6" w:space="0"/>
              <w:bottom w:val="single" w:color="D9E2F3" w:sz="6" w:space="0"/>
              <w:right w:val="single" w:color="D9E2F3" w:sz="6" w:space="0"/>
            </w:tcBorders>
            <w:shd w:val="clear" w:color="auto" w:fill="EDF4FB"/>
            <w:tcMar>
              <w:top w:w="80" w:type="dxa"/>
              <w:left w:w="110" w:type="dxa"/>
              <w:bottom w:w="80" w:type="dxa"/>
              <w:right w:w="110" w:type="dxa"/>
            </w:tcMar>
            <w:vAlign w:val="center"/>
          </w:tcPr>
          <w:p w14:paraId="5131D8FD">
            <w:pPr>
              <w:jc w:val="center"/>
              <w:rPr>
                <w:rFonts w:ascii="宋体" w:hAnsi="宋体" w:eastAsia="宋体"/>
              </w:rPr>
            </w:pPr>
            <w:r>
              <w:rPr>
                <w:rFonts w:hint="eastAsia" w:ascii="宋体" w:hAnsi="宋体" w:eastAsia="宋体" w:cs="宋体"/>
                <w:b/>
                <w:color w:val="1F4E79"/>
                <w:sz w:val="20"/>
              </w:rPr>
              <w:t>核心问题</w:t>
            </w:r>
          </w:p>
        </w:tc>
        <w:tc>
          <w:tcPr>
            <w:tcW w:w="6919" w:type="dxa"/>
            <w:tcBorders>
              <w:top w:val="single" w:color="D9E2F3" w:sz="6" w:space="0"/>
              <w:left w:val="single" w:color="D9E2F3" w:sz="6" w:space="0"/>
              <w:bottom w:val="single" w:color="D9E2F3" w:sz="6" w:space="0"/>
              <w:right w:val="single" w:color="D9E2F3" w:sz="6" w:space="0"/>
            </w:tcBorders>
            <w:shd w:val="clear" w:color="auto" w:fill="FAFCFF"/>
            <w:tcMar>
              <w:top w:w="80" w:type="dxa"/>
              <w:left w:w="110" w:type="dxa"/>
              <w:bottom w:w="80" w:type="dxa"/>
              <w:right w:w="110" w:type="dxa"/>
            </w:tcMar>
            <w:vAlign w:val="center"/>
          </w:tcPr>
          <w:p w14:paraId="005E3190">
            <w:r>
              <w:rPr>
                <w:rFonts w:hint="eastAsia" w:ascii="宋体" w:hAnsi="宋体" w:eastAsia="宋体" w:cs="宋体"/>
                <w:sz w:val="20"/>
              </w:rPr>
              <w:t>如何基于局部状态学习更准确、更稳定、更具任务适配性的曲率代理，以提升参数重要性评估质量</w:t>
            </w:r>
          </w:p>
        </w:tc>
      </w:tr>
      <w:tr w14:paraId="2C02D36F">
        <w:trPr>
          <w:jc w:val="center"/>
        </w:trPr>
        <w:tc>
          <w:tcPr>
            <w:tcW w:w="1814" w:type="dxa"/>
            <w:tcBorders>
              <w:top w:val="single" w:color="D9E2F3" w:sz="6" w:space="0"/>
              <w:left w:val="single" w:color="D9E2F3" w:sz="6" w:space="0"/>
              <w:bottom w:val="single" w:color="D9E2F3" w:sz="6" w:space="0"/>
              <w:right w:val="single" w:color="D9E2F3" w:sz="6" w:space="0"/>
            </w:tcBorders>
            <w:shd w:val="clear" w:color="auto" w:fill="EDF4FB"/>
            <w:tcMar>
              <w:top w:w="80" w:type="dxa"/>
              <w:left w:w="110" w:type="dxa"/>
              <w:bottom w:w="80" w:type="dxa"/>
              <w:right w:w="110" w:type="dxa"/>
            </w:tcMar>
            <w:vAlign w:val="center"/>
          </w:tcPr>
          <w:p w14:paraId="70C5F57E">
            <w:pPr>
              <w:jc w:val="center"/>
              <w:rPr>
                <w:rFonts w:ascii="宋体" w:hAnsi="宋体" w:eastAsia="宋体"/>
              </w:rPr>
            </w:pPr>
            <w:r>
              <w:rPr>
                <w:rFonts w:hint="eastAsia" w:ascii="宋体" w:hAnsi="宋体" w:eastAsia="宋体" w:cs="宋体"/>
                <w:b/>
                <w:color w:val="1F4E79"/>
                <w:sz w:val="20"/>
              </w:rPr>
              <w:t>方法关键词</w:t>
            </w:r>
          </w:p>
        </w:tc>
        <w:tc>
          <w:tcPr>
            <w:tcW w:w="6919" w:type="dxa"/>
            <w:tcBorders>
              <w:top w:val="single" w:color="D9E2F3" w:sz="6" w:space="0"/>
              <w:left w:val="single" w:color="D9E2F3" w:sz="6" w:space="0"/>
              <w:bottom w:val="single" w:color="D9E2F3" w:sz="6" w:space="0"/>
              <w:right w:val="single" w:color="D9E2F3" w:sz="6" w:space="0"/>
            </w:tcBorders>
            <w:shd w:val="clear" w:color="auto" w:fill="FAFCFF"/>
            <w:tcMar>
              <w:top w:w="80" w:type="dxa"/>
              <w:left w:w="110" w:type="dxa"/>
              <w:bottom w:w="80" w:type="dxa"/>
              <w:right w:w="110" w:type="dxa"/>
            </w:tcMar>
            <w:vAlign w:val="center"/>
          </w:tcPr>
          <w:p w14:paraId="7567D928">
            <w:r>
              <w:rPr>
                <w:sz w:val="20"/>
              </w:rPr>
              <w:t>Hessian/Fisher/HVP</w:t>
            </w:r>
            <w:r>
              <w:rPr>
                <w:rFonts w:hint="eastAsia" w:ascii="宋体" w:hAnsi="宋体" w:eastAsia="宋体" w:cs="宋体"/>
                <w:sz w:val="20"/>
              </w:rPr>
              <w:t>，</w:t>
            </w:r>
            <w:r>
              <w:rPr>
                <w:sz w:val="20"/>
              </w:rPr>
              <w:t>block-level modeling</w:t>
            </w:r>
            <w:r>
              <w:rPr>
                <w:rFonts w:hint="eastAsia" w:ascii="宋体" w:hAnsi="宋体" w:eastAsia="宋体" w:cs="宋体"/>
                <w:sz w:val="20"/>
              </w:rPr>
              <w:t>，</w:t>
            </w:r>
            <w:r>
              <w:rPr>
                <w:sz w:val="20"/>
              </w:rPr>
              <w:t>teacher-student</w:t>
            </w:r>
            <w:r>
              <w:rPr>
                <w:rFonts w:hint="eastAsia" w:ascii="宋体" w:hAnsi="宋体" w:eastAsia="宋体" w:cs="宋体"/>
                <w:sz w:val="20"/>
              </w:rPr>
              <w:t>，</w:t>
            </w:r>
            <w:r>
              <w:rPr>
                <w:sz w:val="20"/>
              </w:rPr>
              <w:t>learned surrogate</w:t>
            </w:r>
            <w:r>
              <w:rPr>
                <w:rFonts w:hint="eastAsia" w:ascii="宋体" w:hAnsi="宋体" w:eastAsia="宋体" w:cs="宋体"/>
                <w:sz w:val="20"/>
              </w:rPr>
              <w:t>，</w:t>
            </w:r>
            <w:r>
              <w:rPr>
                <w:sz w:val="20"/>
              </w:rPr>
              <w:t>Shapley score</w:t>
            </w:r>
          </w:p>
        </w:tc>
      </w:tr>
      <w:tr w14:paraId="1CAF675B">
        <w:trPr>
          <w:jc w:val="center"/>
        </w:trPr>
        <w:tc>
          <w:tcPr>
            <w:tcW w:w="1814" w:type="dxa"/>
            <w:tcBorders>
              <w:top w:val="single" w:color="D9E2F3" w:sz="6" w:space="0"/>
              <w:left w:val="single" w:color="D9E2F3" w:sz="6" w:space="0"/>
              <w:bottom w:val="single" w:color="D9E2F3" w:sz="6" w:space="0"/>
              <w:right w:val="single" w:color="D9E2F3" w:sz="6" w:space="0"/>
            </w:tcBorders>
            <w:shd w:val="clear" w:color="auto" w:fill="EDF4FB"/>
            <w:tcMar>
              <w:top w:w="80" w:type="dxa"/>
              <w:left w:w="110" w:type="dxa"/>
              <w:bottom w:w="80" w:type="dxa"/>
              <w:right w:w="110" w:type="dxa"/>
            </w:tcMar>
            <w:vAlign w:val="center"/>
          </w:tcPr>
          <w:p w14:paraId="03762591">
            <w:pPr>
              <w:jc w:val="center"/>
              <w:rPr>
                <w:rFonts w:ascii="宋体" w:hAnsi="宋体" w:eastAsia="宋体"/>
              </w:rPr>
            </w:pPr>
            <w:r>
              <w:rPr>
                <w:rFonts w:hint="eastAsia" w:ascii="宋体" w:hAnsi="宋体" w:eastAsia="宋体" w:cs="宋体"/>
                <w:b/>
                <w:color w:val="1F4E79"/>
                <w:sz w:val="20"/>
              </w:rPr>
              <w:t>预期产出</w:t>
            </w:r>
          </w:p>
        </w:tc>
        <w:tc>
          <w:tcPr>
            <w:tcW w:w="6919" w:type="dxa"/>
            <w:tcBorders>
              <w:top w:val="single" w:color="D9E2F3" w:sz="6" w:space="0"/>
              <w:left w:val="single" w:color="D9E2F3" w:sz="6" w:space="0"/>
              <w:bottom w:val="single" w:color="D9E2F3" w:sz="6" w:space="0"/>
              <w:right w:val="single" w:color="D9E2F3" w:sz="6" w:space="0"/>
            </w:tcBorders>
            <w:shd w:val="clear" w:color="auto" w:fill="FAFCFF"/>
            <w:tcMar>
              <w:top w:w="80" w:type="dxa"/>
              <w:left w:w="110" w:type="dxa"/>
              <w:bottom w:w="80" w:type="dxa"/>
              <w:right w:w="110" w:type="dxa"/>
            </w:tcMar>
            <w:vAlign w:val="center"/>
          </w:tcPr>
          <w:p w14:paraId="668BCFCA">
            <w:r>
              <w:rPr>
                <w:rFonts w:hint="eastAsia" w:ascii="宋体" w:hAnsi="宋体" w:eastAsia="宋体" w:cs="宋体"/>
                <w:sz w:val="20"/>
              </w:rPr>
              <w:t>完整可复现</w:t>
            </w:r>
            <w:r>
              <w:rPr>
                <w:sz w:val="20"/>
              </w:rPr>
              <w:t xml:space="preserve"> pipeline</w:t>
            </w:r>
            <w:r>
              <w:rPr>
                <w:rFonts w:hint="eastAsia" w:ascii="宋体" w:hAnsi="宋体" w:eastAsia="宋体" w:cs="宋体"/>
                <w:sz w:val="20"/>
              </w:rPr>
              <w:t>，</w:t>
            </w:r>
            <w:r>
              <w:rPr>
                <w:sz w:val="20"/>
              </w:rPr>
              <w:t xml:space="preserve">1 </w:t>
            </w:r>
            <w:r>
              <w:rPr>
                <w:rFonts w:hint="eastAsia" w:ascii="宋体" w:hAnsi="宋体" w:eastAsia="宋体" w:cs="宋体"/>
                <w:sz w:val="20"/>
              </w:rPr>
              <w:t>个</w:t>
            </w:r>
            <w:r>
              <w:rPr>
                <w:sz w:val="20"/>
              </w:rPr>
              <w:t xml:space="preserve"> baseline </w:t>
            </w:r>
            <w:r>
              <w:rPr>
                <w:rFonts w:hint="eastAsia" w:ascii="宋体" w:hAnsi="宋体" w:eastAsia="宋体" w:cs="宋体"/>
                <w:sz w:val="20"/>
              </w:rPr>
              <w:t>与</w:t>
            </w:r>
            <w:r>
              <w:rPr>
                <w:sz w:val="20"/>
              </w:rPr>
              <w:t xml:space="preserve"> 1 </w:t>
            </w:r>
            <w:r>
              <w:rPr>
                <w:rFonts w:hint="eastAsia" w:ascii="宋体" w:hAnsi="宋体" w:eastAsia="宋体" w:cs="宋体"/>
                <w:sz w:val="20"/>
              </w:rPr>
              <w:t>个改进方案，核心对比实验与实习报告</w:t>
            </w:r>
          </w:p>
        </w:tc>
      </w:tr>
      <w:tr w14:paraId="337E67F2">
        <w:trPr>
          <w:jc w:val="center"/>
        </w:trPr>
        <w:tc>
          <w:tcPr>
            <w:tcW w:w="8733" w:type="dxa"/>
            <w:gridSpan w:val="2"/>
            <w:tcBorders>
              <w:top w:val="single" w:color="BFD3EA" w:sz="8" w:space="0"/>
              <w:left w:val="single" w:color="BFD3EA" w:sz="8" w:space="0"/>
              <w:bottom w:val="single" w:color="BFD3EA" w:sz="8" w:space="0"/>
              <w:right w:val="single" w:color="BFD3EA" w:sz="8" w:space="0"/>
            </w:tcBorders>
            <w:shd w:val="clear" w:color="auto" w:fill="F5F9FE"/>
            <w:tcMar>
              <w:top w:w="110" w:type="dxa"/>
              <w:left w:w="130" w:type="dxa"/>
              <w:bottom w:w="110" w:type="dxa"/>
              <w:right w:w="130" w:type="dxa"/>
            </w:tcMar>
            <w:vAlign w:val="center"/>
          </w:tcPr>
          <w:p w14:paraId="3C200577">
            <w:pPr>
              <w:spacing w:line="292" w:lineRule="auto"/>
              <w:rPr>
                <w:rFonts w:ascii="宋体" w:hAnsi="宋体" w:eastAsia="宋体"/>
              </w:rPr>
            </w:pPr>
            <w:r>
              <w:rPr>
                <w:rFonts w:ascii="宋体" w:hAnsi="宋体" w:eastAsia="宋体"/>
                <w:b/>
                <w:color w:val="1F4E79"/>
                <w:sz w:val="20"/>
              </w:rPr>
              <w:t>题目定位：</w:t>
            </w:r>
            <w:r>
              <w:rPr>
                <w:rFonts w:ascii="宋体" w:hAnsi="宋体" w:eastAsia="宋体"/>
                <w:sz w:val="20"/>
              </w:rPr>
              <w:t>本题围绕大模型参数级理解与调控的基础能力展开，聚焦 MODEL SHAPLEY 中决定参数重要性精度的关键环节——二阶曲率近似。工作内容覆盖理论分析、可学习建模、监督构造与实验验证，研究结果可服务于重要参数识别、定向微调、知识注入、模型压缩、量化和模型编辑等任务，具有明确的方法价值与应用影响</w:t>
            </w:r>
            <w:r>
              <w:rPr>
                <w:rFonts w:hint="eastAsia" w:ascii="宋体" w:hAnsi="宋体" w:eastAsia="宋体" w:cs="宋体"/>
                <w:sz w:val="20"/>
              </w:rPr>
              <w:t>。</w:t>
            </w:r>
          </w:p>
        </w:tc>
      </w:tr>
    </w:tbl>
    <w:p w14:paraId="1A876AD5">
      <w:pPr>
        <w:spacing w:after="80" w:line="297" w:lineRule="auto"/>
        <w:rPr>
          <w:b/>
          <w:bCs/>
          <w:sz w:val="24"/>
          <w:szCs w:val="28"/>
        </w:rPr>
      </w:pPr>
      <w:r>
        <w:rPr>
          <w:b/>
          <w:bCs/>
          <w:sz w:val="24"/>
          <w:szCs w:val="28"/>
        </w:rPr>
        <w:t>1</w:t>
      </w:r>
      <w:r>
        <w:rPr>
          <w:rFonts w:hint="eastAsia"/>
          <w:b/>
          <w:bCs/>
          <w:sz w:val="24"/>
          <w:szCs w:val="28"/>
        </w:rPr>
        <w:t>、研究背景与意义</w:t>
      </w:r>
    </w:p>
    <w:p w14:paraId="1561953F">
      <w:pPr>
        <w:spacing w:after="80" w:line="297" w:lineRule="auto"/>
        <w:ind w:firstLine="420"/>
      </w:pPr>
      <w:r>
        <w:t>随着模型规模持续增长，参数已经成为大模型能力承载、知识存储与任务适配的重要介质。参数重要性分析正在成为理解模型内部机制和实施精细化干预的基础环节。围绕“哪些参数更关键、关键性来自何处、参数之间如何协同发挥作用”的研究，将直接影响知识注入、参数高效微调、功能定位、压缩量化与安全控制等方向的发展</w:t>
      </w:r>
      <w:r>
        <w:rPr>
          <w:rFonts w:hint="eastAsia" w:ascii="宋体" w:hAnsi="宋体" w:eastAsia="宋体" w:cs="宋体"/>
        </w:rPr>
        <w:t>。</w:t>
      </w:r>
    </w:p>
    <w:p w14:paraId="5BA741FD">
      <w:pPr>
        <w:spacing w:after="80" w:line="297" w:lineRule="auto"/>
        <w:ind w:firstLine="420"/>
      </w:pPr>
      <w:r>
        <w:t>MODEL SHAPLEY从合作博弈视角出发，将参数视为共同决定模型行为的参与者，通过 Shapley value统一刻画参数的个体贡献与协同贡献。该框架为参数重要性分析提供了较强的理论解释力，也为参数级干预提供了清晰接口。二阶项估计模块连接损失地形与参数贡献计算，决定Shapley score对局部曲率和参数协同的刻画质量</w:t>
      </w:r>
      <w:r>
        <w:rPr>
          <w:rFonts w:hint="eastAsia" w:ascii="宋体" w:hAnsi="宋体" w:eastAsia="宋体" w:cs="宋体"/>
        </w:rPr>
        <w:t>。</w:t>
      </w:r>
    </w:p>
    <w:p w14:paraId="3A9B7847">
      <w:pPr>
        <w:spacing w:after="80" w:line="297" w:lineRule="auto"/>
        <w:ind w:firstLine="420"/>
      </w:pPr>
      <w:r>
        <w:t>现有实现通常使用经验Fisher或相关二阶近似来获得可扩展的曲率信息。这一路径已经具备工程可行性，也为进一步提升留下了充足空间。近似质量、任务适配性、结构表达能力与数值稳定性都会影响最终的重要性排序，并进一步影响下游干预效果。针对这一核心环节探索可学习曲率代理，能够推动参数重要性分析向更准确、更稳健、更具任务敏感性的方向发展</w:t>
      </w:r>
      <w:r>
        <w:rPr>
          <w:rFonts w:hint="eastAsia" w:ascii="宋体" w:hAnsi="宋体" w:eastAsia="宋体" w:cs="宋体"/>
        </w:rPr>
        <w:t>。</w:t>
      </w:r>
    </w:p>
    <w:p w14:paraId="79620ECF">
      <w:pPr>
        <w:spacing w:after="80" w:line="297" w:lineRule="auto"/>
        <w:ind w:firstLine="420"/>
      </w:pPr>
      <w:r>
        <w:t>本题同时具有方法研究价值与应用价值。方法层面，实习生将围绕Hessian、Fisher、HVP与block-level approximation展开建模与验证。应用层面，研究结果有望提升MODEL SHAPLEY在重要参数识别、定向训练、知识保留、量化修正和结构化解释中的实用性</w:t>
      </w:r>
      <w:r>
        <w:rPr>
          <w:rFonts w:hint="eastAsia" w:ascii="宋体" w:hAnsi="宋体" w:eastAsia="宋体" w:cs="宋体"/>
        </w:rPr>
        <w:t>。</w:t>
      </w:r>
    </w:p>
    <w:p w14:paraId="41DF254B">
      <w:pPr>
        <w:spacing w:after="80" w:line="297" w:lineRule="auto"/>
        <w:rPr>
          <w:b/>
          <w:bCs/>
          <w:sz w:val="24"/>
          <w:szCs w:val="28"/>
        </w:rPr>
      </w:pPr>
      <w:r>
        <w:rPr>
          <w:b/>
          <w:bCs/>
          <w:sz w:val="24"/>
          <w:szCs w:val="28"/>
        </w:rPr>
        <w:t>2、实习目</w:t>
      </w:r>
      <w:r>
        <w:rPr>
          <w:rFonts w:hint="eastAsia"/>
          <w:b/>
          <w:bCs/>
          <w:sz w:val="24"/>
          <w:szCs w:val="28"/>
        </w:rPr>
        <w:t>标</w:t>
      </w:r>
    </w:p>
    <w:p w14:paraId="28A67F18">
      <w:pPr>
        <w:spacing w:after="80" w:line="297" w:lineRule="auto"/>
        <w:ind w:firstLine="420"/>
      </w:pPr>
      <w:r>
        <w:t>在约40天内，围绕MODEL SHAPLEY中二阶曲率近似这一核心问题，设计并验证一种可学习的曲率代理方法。实习工作希望回答以下问题：模型在当前 checkpoint 与 probe batch 下的局部状态信息，是否足以支撑对参数块级曲率的有效预测；所学习的曲率代理，是否能够提升 Shapley value 的准确性、稳定性与任务适配能力；这种提升，是否能够通过参数重要性排序质量与下游验证任务得到体现</w:t>
      </w:r>
      <w:r>
        <w:rPr>
          <w:rFonts w:hint="eastAsia" w:ascii="宋体" w:hAnsi="宋体" w:eastAsia="宋体" w:cs="宋体"/>
        </w:rPr>
        <w:t>。</w:t>
      </w:r>
    </w:p>
    <w:p w14:paraId="16669530">
      <w:pPr>
        <w:pStyle w:val="4"/>
        <w:numPr>
          <w:ilvl w:val="0"/>
          <w:numId w:val="1"/>
        </w:numPr>
        <w:spacing w:after="50" w:line="288" w:lineRule="auto"/>
        <w:ind w:firstLineChars="0"/>
      </w:pPr>
      <w:r>
        <w:t>完成对MODEL SHAPLEY二阶项计算流程及Fisher近似机制的分析</w:t>
      </w:r>
      <w:r>
        <w:rPr>
          <w:rFonts w:hint="eastAsia" w:ascii="宋体" w:hAnsi="宋体" w:eastAsia="宋体" w:cs="宋体"/>
        </w:rPr>
        <w:t>。</w:t>
      </w:r>
    </w:p>
    <w:p w14:paraId="78760144">
      <w:pPr>
        <w:pStyle w:val="4"/>
        <w:numPr>
          <w:ilvl w:val="0"/>
          <w:numId w:val="1"/>
        </w:numPr>
        <w:spacing w:after="50" w:line="288" w:lineRule="auto"/>
        <w:ind w:firstLineChars="0"/>
      </w:pPr>
      <w:r>
        <w:t>设计一个parameter block级别的learned curvature surrogate，输出形式可为Hessian diagonal、低秩曲率表示或HVP算子近似</w:t>
      </w:r>
      <w:r>
        <w:rPr>
          <w:rFonts w:hint="eastAsia" w:ascii="宋体" w:hAnsi="宋体" w:eastAsia="宋体" w:cs="宋体"/>
        </w:rPr>
        <w:t>。</w:t>
      </w:r>
    </w:p>
    <w:p w14:paraId="621B7BB2">
      <w:pPr>
        <w:pStyle w:val="4"/>
        <w:numPr>
          <w:ilvl w:val="0"/>
          <w:numId w:val="1"/>
        </w:numPr>
        <w:spacing w:after="50" w:line="288" w:lineRule="auto"/>
        <w:ind w:firstLineChars="0"/>
      </w:pPr>
      <w:r>
        <w:t>构造高质量teacher signal与训练策略，形成可复现的研究pipeline</w:t>
      </w:r>
      <w:r>
        <w:rPr>
          <w:rFonts w:hint="eastAsia" w:ascii="宋体" w:hAnsi="宋体" w:eastAsia="宋体" w:cs="宋体"/>
        </w:rPr>
        <w:t>。</w:t>
      </w:r>
    </w:p>
    <w:p w14:paraId="53654E61">
      <w:pPr>
        <w:pStyle w:val="4"/>
        <w:numPr>
          <w:ilvl w:val="0"/>
          <w:numId w:val="1"/>
        </w:numPr>
        <w:spacing w:after="50" w:line="288" w:lineRule="auto"/>
        <w:ind w:firstLineChars="0"/>
      </w:pPr>
      <w:r>
        <w:t>通过对比实验和消融实验验证surrogate的有效性与局限性</w:t>
      </w:r>
      <w:r>
        <w:rPr>
          <w:rFonts w:hint="eastAsia" w:ascii="宋体" w:hAnsi="宋体" w:eastAsia="宋体" w:cs="宋体"/>
        </w:rPr>
        <w:t>。</w:t>
      </w:r>
    </w:p>
    <w:p w14:paraId="707CBC99">
      <w:pPr>
        <w:spacing w:after="80" w:line="297" w:lineRule="auto"/>
        <w:rPr>
          <w:b/>
          <w:bCs/>
          <w:sz w:val="24"/>
          <w:szCs w:val="28"/>
        </w:rPr>
      </w:pPr>
      <w:r>
        <w:rPr>
          <w:b/>
          <w:bCs/>
          <w:sz w:val="24"/>
          <w:szCs w:val="28"/>
        </w:rPr>
        <w:t>3、任务设定与内容要</w:t>
      </w:r>
      <w:r>
        <w:rPr>
          <w:rFonts w:hint="eastAsia"/>
          <w:b/>
          <w:bCs/>
          <w:sz w:val="24"/>
          <w:szCs w:val="28"/>
        </w:rPr>
        <w:t>求</w:t>
      </w:r>
    </w:p>
    <w:p w14:paraId="7C5C1FDB">
      <w:pPr>
        <w:spacing w:after="80" w:line="297" w:lineRule="auto"/>
        <w:ind w:firstLine="420"/>
      </w:pPr>
      <w:r>
        <w:t>本实习以已有MODEL SHAPLEY框架为基础，围绕其中的“二阶曲率估计”模块开展研究。实习生需要在保持参数重要性分析目标清晰一致的前提下，构建一个具有可训练能力的曲率建模模块，并验证其对重要性评估与下游应用的影响。研究对象建议聚焦block-level建模单元，例如layer、attention head、FFN block或其他结构化参数组，以保证可扩展性与实验可操作性</w:t>
      </w:r>
      <w:r>
        <w:rPr>
          <w:rFonts w:hint="eastAsia" w:ascii="宋体" w:hAnsi="宋体" w:eastAsia="宋体" w:cs="宋体"/>
        </w:rPr>
        <w:t>。</w:t>
      </w:r>
    </w:p>
    <w:p w14:paraId="753F1283">
      <w:pPr>
        <w:spacing w:after="60" w:line="297" w:lineRule="auto"/>
      </w:pPr>
      <w:r>
        <w:t>请围绕以下至少1个关键技术问题开展初步研究，并完成baseline、改进方案与实验验证</w:t>
      </w:r>
      <w:r>
        <w:rPr>
          <w:rFonts w:hint="eastAsia" w:ascii="宋体" w:hAnsi="宋体" w:eastAsia="宋体" w:cs="宋体"/>
        </w:rPr>
        <w:t>：</w:t>
      </w:r>
    </w:p>
    <w:p w14:paraId="0FB61278">
      <w:pPr>
        <w:pStyle w:val="4"/>
        <w:numPr>
          <w:ilvl w:val="0"/>
          <w:numId w:val="2"/>
        </w:numPr>
        <w:spacing w:after="50" w:line="288" w:lineRule="auto"/>
        <w:ind w:firstLineChars="0"/>
      </w:pPr>
      <w:r>
        <w:t>曲率代理建模：设计从块级状态特征到曲率信息的映射，探索diagonal surrogate、low-rank surrogate、operator-level HVP surrogate等形式</w:t>
      </w:r>
      <w:r>
        <w:rPr>
          <w:rFonts w:hint="eastAsia" w:ascii="宋体" w:hAnsi="宋体" w:eastAsia="宋体" w:cs="宋体"/>
        </w:rPr>
        <w:t>。</w:t>
      </w:r>
    </w:p>
    <w:p w14:paraId="56EF4834">
      <w:pPr>
        <w:pStyle w:val="4"/>
        <w:numPr>
          <w:ilvl w:val="0"/>
          <w:numId w:val="2"/>
        </w:numPr>
        <w:spacing w:after="50" w:line="288" w:lineRule="auto"/>
        <w:ind w:firstLineChars="0"/>
      </w:pPr>
      <w:r>
        <w:t>HVP 监督信号构造：基于autodiff、HVP probe、Hutchinson或其他近似方式生成 teacher curvature label，分析监督信号质量与计算成本</w:t>
      </w:r>
      <w:r>
        <w:rPr>
          <w:rFonts w:hint="eastAsia" w:ascii="宋体" w:hAnsi="宋体" w:eastAsia="宋体" w:cs="宋体"/>
        </w:rPr>
        <w:t>。</w:t>
      </w:r>
    </w:p>
    <w:p w14:paraId="34B1DF17">
      <w:pPr>
        <w:pStyle w:val="4"/>
        <w:numPr>
          <w:ilvl w:val="0"/>
          <w:numId w:val="2"/>
        </w:numPr>
        <w:spacing w:after="50" w:line="288" w:lineRule="auto"/>
        <w:ind w:firstLineChars="0"/>
      </w:pPr>
      <w:r>
        <w:t>Probe 方向设计：研究随机方向、参数方向、梯度方向、结构化方向等不同probe方案对HVP学习与最终重要性评分的影响</w:t>
      </w:r>
      <w:r>
        <w:rPr>
          <w:rFonts w:hint="eastAsia" w:ascii="宋体" w:hAnsi="宋体" w:eastAsia="宋体" w:cs="宋体"/>
        </w:rPr>
        <w:t>。</w:t>
      </w:r>
    </w:p>
    <w:p w14:paraId="26C833EC">
      <w:pPr>
        <w:pStyle w:val="4"/>
        <w:numPr>
          <w:ilvl w:val="0"/>
          <w:numId w:val="2"/>
        </w:numPr>
        <w:spacing w:after="50" w:line="288" w:lineRule="auto"/>
        <w:ind w:firstLineChars="0"/>
      </w:pPr>
      <w:r>
        <w:t>激活与状态特征设计：构造能够表征参数块局部动态行为的输入特征，候选信息可包含参数统计量、梯度统计量、激活统计量、局部loss变化、层内结构信息等</w:t>
      </w:r>
      <w:r>
        <w:rPr>
          <w:rFonts w:hint="eastAsia" w:ascii="宋体" w:hAnsi="宋体" w:eastAsia="宋体" w:cs="宋体"/>
        </w:rPr>
        <w:t>。</w:t>
      </w:r>
    </w:p>
    <w:p w14:paraId="697CB1E9">
      <w:pPr>
        <w:pStyle w:val="4"/>
        <w:numPr>
          <w:ilvl w:val="0"/>
          <w:numId w:val="2"/>
        </w:numPr>
        <w:spacing w:after="50" w:line="288" w:lineRule="auto"/>
        <w:ind w:firstLineChars="0"/>
      </w:pPr>
      <w:r>
        <w:t>曲率结构约束与稳定性：引入PSD、对称性、block sparsity、scale normalization等结构先验，提升surrogate的可解释性、数值稳定性与泛化能力</w:t>
      </w:r>
      <w:r>
        <w:rPr>
          <w:rFonts w:hint="eastAsia" w:ascii="宋体" w:hAnsi="宋体" w:eastAsia="宋体" w:cs="宋体"/>
        </w:rPr>
        <w:t>。</w:t>
      </w:r>
    </w:p>
    <w:p w14:paraId="6FC214ED">
      <w:pPr>
        <w:pStyle w:val="4"/>
        <w:numPr>
          <w:ilvl w:val="0"/>
          <w:numId w:val="2"/>
        </w:numPr>
        <w:spacing w:after="50" w:line="288" w:lineRule="auto"/>
        <w:ind w:firstLineChars="0"/>
      </w:pPr>
      <w:r>
        <w:t>surrogate与Shapley计算接口设计：研究learned curvature如何进入MODEL SHAPLEY 的二阶项估计，并分析其对最终 score 分布和 top-k参数选择的影响</w:t>
      </w:r>
      <w:r>
        <w:rPr>
          <w:rFonts w:hint="eastAsia" w:ascii="宋体" w:hAnsi="宋体" w:eastAsia="宋体" w:cs="宋体"/>
        </w:rPr>
        <w:t>。</w:t>
      </w:r>
    </w:p>
    <w:p w14:paraId="03A9CDC6">
      <w:pPr>
        <w:spacing w:after="80" w:line="297" w:lineRule="auto"/>
        <w:rPr>
          <w:b/>
          <w:bCs/>
          <w:sz w:val="24"/>
          <w:szCs w:val="28"/>
        </w:rPr>
      </w:pPr>
      <w:r>
        <w:rPr>
          <w:b/>
          <w:bCs/>
          <w:sz w:val="24"/>
          <w:szCs w:val="28"/>
        </w:rPr>
        <w:t>4、研究提</w:t>
      </w:r>
      <w:r>
        <w:rPr>
          <w:rFonts w:hint="eastAsia"/>
          <w:b/>
          <w:bCs/>
          <w:sz w:val="24"/>
          <w:szCs w:val="28"/>
        </w:rPr>
        <w:t>示</w:t>
      </w:r>
    </w:p>
    <w:p w14:paraId="2447DA35">
      <w:pPr>
        <w:pStyle w:val="4"/>
        <w:numPr>
          <w:ilvl w:val="0"/>
          <w:numId w:val="3"/>
        </w:numPr>
        <w:spacing w:after="50" w:line="288" w:lineRule="auto"/>
        <w:ind w:firstLineChars="0"/>
      </w:pPr>
      <w:r>
        <w:t>建议从MODEL SHAPLEY的闭式近似与blockwise Fisher approximation出发，明确二阶项在参数重要性分析中的作用路径</w:t>
      </w:r>
      <w:r>
        <w:rPr>
          <w:rFonts w:hint="eastAsia" w:ascii="宋体" w:hAnsi="宋体" w:eastAsia="宋体" w:cs="宋体"/>
        </w:rPr>
        <w:t>。</w:t>
      </w:r>
    </w:p>
    <w:p w14:paraId="738ADC59">
      <w:pPr>
        <w:pStyle w:val="4"/>
        <w:numPr>
          <w:ilvl w:val="0"/>
          <w:numId w:val="3"/>
        </w:numPr>
        <w:spacing w:after="50" w:line="288" w:lineRule="auto"/>
        <w:ind w:firstLineChars="0"/>
      </w:pPr>
      <w:r>
        <w:t>建议将Hessian看作局部算子，优先思考“学习 HVP”与“学习结构化曲率表示”两类方案</w:t>
      </w:r>
      <w:r>
        <w:rPr>
          <w:rFonts w:hint="eastAsia" w:ascii="宋体" w:hAnsi="宋体" w:eastAsia="宋体" w:cs="宋体"/>
        </w:rPr>
        <w:t>。</w:t>
      </w:r>
    </w:p>
    <w:p w14:paraId="31342BE8">
      <w:pPr>
        <w:pStyle w:val="4"/>
        <w:numPr>
          <w:ilvl w:val="0"/>
          <w:numId w:val="3"/>
        </w:numPr>
        <w:spacing w:after="50" w:line="288" w:lineRule="auto"/>
        <w:ind w:firstLineChars="0"/>
      </w:pPr>
      <w:r>
        <w:t>建议采用teacher-student研究范式：用较小规模calibration数据获得相对精确的 curvature label，再训练轻量surrogate做近似预测</w:t>
      </w:r>
      <w:r>
        <w:rPr>
          <w:rFonts w:hint="eastAsia" w:ascii="宋体" w:hAnsi="宋体" w:eastAsia="宋体" w:cs="宋体"/>
        </w:rPr>
        <w:t>。</w:t>
      </w:r>
    </w:p>
    <w:p w14:paraId="39853A93">
      <w:pPr>
        <w:pStyle w:val="4"/>
        <w:numPr>
          <w:ilvl w:val="0"/>
          <w:numId w:val="3"/>
        </w:numPr>
        <w:spacing w:after="50" w:line="288" w:lineRule="auto"/>
        <w:ind w:firstLineChars="0"/>
      </w:pPr>
      <w:r>
        <w:t>建议将实验重点放在“曲率代理质量—重要性排序质量—下游效果”这一完整链条上，形成闭环验证</w:t>
      </w:r>
      <w:r>
        <w:rPr>
          <w:rFonts w:hint="eastAsia" w:ascii="宋体" w:hAnsi="宋体" w:eastAsia="宋体" w:cs="宋体"/>
        </w:rPr>
        <w:t>。</w:t>
      </w:r>
    </w:p>
    <w:p w14:paraId="4724E455">
      <w:pPr>
        <w:pStyle w:val="4"/>
        <w:numPr>
          <w:ilvl w:val="0"/>
          <w:numId w:val="3"/>
        </w:numPr>
        <w:spacing w:after="50" w:line="288" w:lineRule="auto"/>
        <w:ind w:firstLineChars="0"/>
      </w:pPr>
      <w:r>
        <w:t>建议在范围界定中写清楚研究边界，例如建模粒度、使用的数据规模、选取的下游验证任务、暂不覆盖的模块与场景</w:t>
      </w:r>
      <w:r>
        <w:rPr>
          <w:rFonts w:hint="eastAsia" w:ascii="宋体" w:hAnsi="宋体" w:eastAsia="宋体" w:cs="宋体"/>
        </w:rPr>
        <w:t>。</w:t>
      </w:r>
    </w:p>
    <w:p w14:paraId="6D585CEE">
      <w:pPr>
        <w:pStyle w:val="4"/>
        <w:numPr>
          <w:ilvl w:val="0"/>
          <w:numId w:val="3"/>
        </w:numPr>
        <w:spacing w:after="50" w:line="288" w:lineRule="auto"/>
        <w:ind w:firstLineChars="0"/>
      </w:pPr>
      <w:r>
        <w:t>建议对失败案例进行独立分析，记录surrogate在不同层、不同任务、不同probe 方向下的误差模式与偏差来源</w:t>
      </w:r>
      <w:r>
        <w:rPr>
          <w:rFonts w:hint="eastAsia" w:ascii="宋体" w:hAnsi="宋体" w:eastAsia="宋体" w:cs="宋体"/>
        </w:rPr>
        <w:t>。</w:t>
      </w:r>
    </w:p>
    <w:p w14:paraId="71F1FE4F">
      <w:pPr>
        <w:pStyle w:val="4"/>
        <w:numPr>
          <w:ilvl w:val="0"/>
          <w:numId w:val="3"/>
        </w:numPr>
        <w:spacing w:after="50" w:line="288" w:lineRule="auto"/>
        <w:ind w:firstLineChars="0"/>
      </w:pPr>
      <w:r>
        <w:t>建议明确哪些部分属于MODEL SHAPLEY的复现，哪些部分属于新的建模设计、训练策略与实验分析</w:t>
      </w:r>
      <w:r>
        <w:rPr>
          <w:rFonts w:hint="eastAsia" w:ascii="宋体" w:hAnsi="宋体" w:eastAsia="宋体" w:cs="宋体"/>
        </w:rPr>
        <w:t>。</w:t>
      </w:r>
    </w:p>
    <w:p w14:paraId="6BB6139C">
      <w:pPr>
        <w:spacing w:after="80" w:line="297" w:lineRule="auto"/>
        <w:rPr>
          <w:b/>
          <w:bCs/>
          <w:sz w:val="24"/>
          <w:szCs w:val="28"/>
        </w:rPr>
      </w:pPr>
      <w:r>
        <w:rPr>
          <w:b/>
          <w:bCs/>
          <w:sz w:val="24"/>
          <w:szCs w:val="28"/>
        </w:rPr>
        <w:t>5、实验与研究要</w:t>
      </w:r>
      <w:r>
        <w:rPr>
          <w:rFonts w:hint="eastAsia"/>
          <w:b/>
          <w:bCs/>
          <w:sz w:val="24"/>
          <w:szCs w:val="28"/>
        </w:rPr>
        <w:t>求</w:t>
      </w:r>
    </w:p>
    <w:p w14:paraId="431B2BB4">
      <w:pPr>
        <w:spacing w:after="60" w:line="297" w:lineRule="auto"/>
      </w:pPr>
      <w:r>
        <w:t>请至少完成以下内容</w:t>
      </w:r>
      <w:r>
        <w:rPr>
          <w:rFonts w:hint="eastAsia" w:ascii="宋体" w:hAnsi="宋体" w:eastAsia="宋体" w:cs="宋体"/>
        </w:rPr>
        <w:t>：</w:t>
      </w:r>
    </w:p>
    <w:p w14:paraId="04685EC1">
      <w:pPr>
        <w:pStyle w:val="4"/>
        <w:numPr>
          <w:ilvl w:val="0"/>
          <w:numId w:val="4"/>
        </w:numPr>
        <w:spacing w:after="50" w:line="288" w:lineRule="auto"/>
        <w:ind w:firstLineChars="0"/>
      </w:pPr>
      <w:r>
        <w:t>实现完整pipeline：checkpoint → probe batch → block partition / state feature extraction → teacher curvature label → surrogate model → learned curvature estimate → Shapley score → evaluation</w:t>
      </w:r>
      <w:r>
        <w:rPr>
          <w:rFonts w:hint="eastAsia" w:ascii="宋体" w:hAnsi="宋体" w:eastAsia="宋体" w:cs="宋体"/>
        </w:rPr>
        <w:t>。</w:t>
      </w:r>
    </w:p>
    <w:p w14:paraId="3307B4BB">
      <w:pPr>
        <w:pStyle w:val="4"/>
        <w:numPr>
          <w:ilvl w:val="0"/>
          <w:numId w:val="4"/>
        </w:numPr>
        <w:spacing w:after="50" w:line="288" w:lineRule="auto"/>
        <w:ind w:firstLineChars="0"/>
      </w:pPr>
      <w:r>
        <w:t>实现至少1个baseline与至少1个改进方案。baseline建议包含经验Fisher proxy。改进方案可选择学习型 diagonal surrogate、HVP-based surrogate、带结构约束的 surrogate 或其他自拟方案</w:t>
      </w:r>
      <w:r>
        <w:rPr>
          <w:rFonts w:hint="eastAsia" w:ascii="宋体" w:hAnsi="宋体" w:eastAsia="宋体" w:cs="宋体"/>
        </w:rPr>
        <w:t>。</w:t>
      </w:r>
    </w:p>
    <w:p w14:paraId="49AD40A0">
      <w:pPr>
        <w:pStyle w:val="4"/>
        <w:numPr>
          <w:ilvl w:val="0"/>
          <w:numId w:val="4"/>
        </w:numPr>
        <w:spacing w:after="50" w:line="288" w:lineRule="auto"/>
        <w:ind w:firstLineChars="0"/>
      </w:pPr>
      <w:r>
        <w:t>完成至少1组核心对比实验，并建议补充1组消融实验。核心对比实验可围绕Fisher proxy vs. learned surrogate、有无activation/state feature、不同probe direction、不同结构约束进行设计</w:t>
      </w:r>
      <w:r>
        <w:rPr>
          <w:rFonts w:hint="eastAsia" w:ascii="宋体" w:hAnsi="宋体" w:eastAsia="宋体" w:cs="宋体"/>
        </w:rPr>
        <w:t>。</w:t>
      </w:r>
    </w:p>
    <w:p w14:paraId="16951A09">
      <w:pPr>
        <w:pStyle w:val="4"/>
        <w:numPr>
          <w:ilvl w:val="0"/>
          <w:numId w:val="4"/>
        </w:numPr>
        <w:spacing w:after="50" w:line="288" w:lineRule="auto"/>
        <w:ind w:firstLineChars="0"/>
      </w:pPr>
      <w:r>
        <w:t>从三个层面组织评测指标：第一，曲率代理质量，例如HVP cosine similarity、relative error、diagonal error、teacher-student rank correlation；第二，重要性评估质量，例如 Shapley score 排序相关性、top-k 参数或参数块重合率、deactivation或freeze实验下的sensitivity；第三，下游验证效果，例如based on learned surrogate的 importance score在targeted fine-tuning、parameter freezing、compression/ quantization correction 或其他已有MODEL SHAPLEY验证环节中的表现</w:t>
      </w:r>
      <w:r>
        <w:rPr>
          <w:rFonts w:hint="eastAsia" w:ascii="宋体" w:hAnsi="宋体" w:eastAsia="宋体" w:cs="宋体"/>
        </w:rPr>
        <w:t>。</w:t>
      </w:r>
    </w:p>
    <w:p w14:paraId="711491ED">
      <w:pPr>
        <w:pStyle w:val="4"/>
        <w:numPr>
          <w:ilvl w:val="0"/>
          <w:numId w:val="4"/>
        </w:numPr>
        <w:spacing w:after="50" w:line="288" w:lineRule="auto"/>
        <w:ind w:firstLineChars="0"/>
      </w:pPr>
      <w:r>
        <w:t>形成清晰、可复现的实验记录，包括配置、随机种子、数据划分、指标定义与主要结论</w:t>
      </w:r>
      <w:r>
        <w:rPr>
          <w:rFonts w:hint="eastAsia" w:ascii="宋体" w:hAnsi="宋体" w:eastAsia="宋体" w:cs="宋体"/>
        </w:rPr>
        <w:t>。</w:t>
      </w:r>
    </w:p>
    <w:p w14:paraId="3D2F15F4">
      <w:pPr>
        <w:spacing w:after="80" w:line="297" w:lineRule="auto"/>
        <w:rPr>
          <w:b/>
          <w:bCs/>
          <w:sz w:val="24"/>
          <w:szCs w:val="28"/>
        </w:rPr>
      </w:pPr>
      <w:r>
        <w:rPr>
          <w:b/>
          <w:bCs/>
          <w:sz w:val="24"/>
          <w:szCs w:val="28"/>
        </w:rPr>
        <w:t>6、交付内</w:t>
      </w:r>
      <w:r>
        <w:rPr>
          <w:rFonts w:hint="eastAsia"/>
          <w:b/>
          <w:bCs/>
          <w:sz w:val="24"/>
          <w:szCs w:val="28"/>
        </w:rPr>
        <w:t>容</w:t>
      </w:r>
    </w:p>
    <w:p w14:paraId="5269F7FF">
      <w:pPr>
        <w:pStyle w:val="4"/>
        <w:numPr>
          <w:ilvl w:val="0"/>
          <w:numId w:val="5"/>
        </w:numPr>
        <w:spacing w:after="50" w:line="288" w:lineRule="auto"/>
        <w:ind w:firstLineChars="0"/>
      </w:pPr>
      <w:r>
        <w:t>完整的工程代码仓库（含Git记录、README、环境配置与运行说明）</w:t>
      </w:r>
      <w:r>
        <w:rPr>
          <w:rFonts w:hint="eastAsia" w:ascii="宋体" w:hAnsi="宋体" w:eastAsia="宋体" w:cs="宋体"/>
        </w:rPr>
        <w:t>。</w:t>
      </w:r>
    </w:p>
    <w:p w14:paraId="465BE0FB">
      <w:pPr>
        <w:pStyle w:val="4"/>
        <w:numPr>
          <w:ilvl w:val="0"/>
          <w:numId w:val="5"/>
        </w:numPr>
        <w:spacing w:after="50" w:line="288" w:lineRule="auto"/>
        <w:ind w:firstLineChars="0"/>
      </w:pPr>
      <w:r>
        <w:t>可复现的实验脚本（含数据处理、teacher label构造、训练与评估流程）</w:t>
      </w:r>
      <w:r>
        <w:rPr>
          <w:rFonts w:hint="eastAsia" w:ascii="宋体" w:hAnsi="宋体" w:eastAsia="宋体" w:cs="宋体"/>
        </w:rPr>
        <w:t>。</w:t>
      </w:r>
    </w:p>
    <w:p w14:paraId="4DD2D3E0">
      <w:pPr>
        <w:pStyle w:val="4"/>
        <w:numPr>
          <w:ilvl w:val="0"/>
          <w:numId w:val="5"/>
        </w:numPr>
        <w:spacing w:after="50" w:line="288" w:lineRule="auto"/>
        <w:ind w:firstLineChars="0"/>
      </w:pPr>
      <w:r>
        <w:t>实习报告（PPT或PDF），至少包含以下内容：问题分析与范围界定；研究背景与相关工作综述；原始MODEL SHAPLEY方法及其二阶近似模块分析；技术方案、建模设计与技术选型理由；baseline与改进方案的详细说明；实验设计与结果分析，包含核心对比实验、消融实验与失败案例分析；选择一个关键问题做深入分析，例如HVP学习与 Fisher proxy 的差异、probe direction对学习结果的影响、结构约束对稳定性的作用；明确说明哪些部分属于复现，哪些部分属于自行设计与实现</w:t>
      </w:r>
      <w:r>
        <w:rPr>
          <w:rFonts w:hint="eastAsia" w:ascii="宋体" w:hAnsi="宋体" w:eastAsia="宋体" w:cs="宋体"/>
        </w:rPr>
        <w:t>。</w:t>
      </w:r>
    </w:p>
    <w:p w14:paraId="2C171849">
      <w:pPr>
        <w:pStyle w:val="4"/>
        <w:numPr>
          <w:ilvl w:val="0"/>
          <w:numId w:val="5"/>
        </w:numPr>
        <w:spacing w:after="50" w:line="288" w:lineRule="auto"/>
        <w:ind w:firstLineChars="0"/>
      </w:pPr>
      <w:r>
        <w:t>如实验过程产生可复用的模型权重、缓存特征或teacher label数据，可附带提交并说明生成方式</w:t>
      </w:r>
      <w:r>
        <w:rPr>
          <w:rFonts w:hint="eastAsia" w:ascii="宋体" w:hAnsi="宋体" w:eastAsia="宋体" w:cs="宋体"/>
        </w:rPr>
        <w:t>。</w:t>
      </w:r>
    </w:p>
    <w:p w14:paraId="0D0B6F2E">
      <w:pPr>
        <w:spacing w:after="80" w:line="297" w:lineRule="auto"/>
        <w:rPr>
          <w:b/>
          <w:bCs/>
          <w:sz w:val="24"/>
          <w:szCs w:val="28"/>
        </w:rPr>
      </w:pPr>
      <w:r>
        <w:rPr>
          <w:b/>
          <w:bCs/>
          <w:sz w:val="24"/>
          <w:szCs w:val="28"/>
        </w:rPr>
        <w:t>7、评价重</w:t>
      </w:r>
      <w:r>
        <w:rPr>
          <w:rFonts w:hint="eastAsia"/>
          <w:b/>
          <w:bCs/>
          <w:sz w:val="24"/>
          <w:szCs w:val="28"/>
        </w:rPr>
        <w:t>点</w:t>
      </w:r>
    </w:p>
    <w:p w14:paraId="0AB4F634">
      <w:pPr>
        <w:spacing w:after="60" w:line="297" w:lineRule="auto"/>
      </w:pPr>
      <w:r>
        <w:t>本题关注研究过程中的理解深度、方法质量与分析能力。评价时将重点考察以下方面</w:t>
      </w:r>
      <w:r>
        <w:rPr>
          <w:rFonts w:hint="eastAsia" w:ascii="宋体" w:hAnsi="宋体" w:eastAsia="宋体" w:cs="宋体"/>
        </w:rPr>
        <w:t>：</w:t>
      </w:r>
    </w:p>
    <w:p w14:paraId="5B55EF19">
      <w:pPr>
        <w:pStyle w:val="4"/>
        <w:numPr>
          <w:ilvl w:val="0"/>
          <w:numId w:val="6"/>
        </w:numPr>
        <w:spacing w:after="50" w:line="288" w:lineRule="auto"/>
        <w:ind w:firstLineChars="0"/>
      </w:pPr>
      <w:r>
        <w:t>对Hessian、Fisher、HVP及其与参数重要性分析关系的理解深度</w:t>
      </w:r>
      <w:r>
        <w:rPr>
          <w:rFonts w:hint="eastAsia" w:ascii="宋体" w:hAnsi="宋体" w:eastAsia="宋体" w:cs="宋体"/>
        </w:rPr>
        <w:t>。</w:t>
      </w:r>
    </w:p>
    <w:p w14:paraId="0AC2737E">
      <w:pPr>
        <w:pStyle w:val="4"/>
        <w:numPr>
          <w:ilvl w:val="0"/>
          <w:numId w:val="6"/>
        </w:numPr>
        <w:spacing w:after="50" w:line="288" w:lineRule="auto"/>
        <w:ind w:firstLineChars="0"/>
      </w:pPr>
      <w:r>
        <w:t>将理论问题转化为可学习建模问题的能力</w:t>
      </w:r>
      <w:r>
        <w:rPr>
          <w:rFonts w:hint="eastAsia" w:ascii="宋体" w:hAnsi="宋体" w:eastAsia="宋体" w:cs="宋体"/>
        </w:rPr>
        <w:t>。</w:t>
      </w:r>
    </w:p>
    <w:p w14:paraId="60D56158">
      <w:pPr>
        <w:pStyle w:val="4"/>
        <w:numPr>
          <w:ilvl w:val="0"/>
          <w:numId w:val="6"/>
        </w:numPr>
        <w:spacing w:after="50" w:line="288" w:lineRule="auto"/>
        <w:ind w:firstLineChars="0"/>
      </w:pPr>
      <w:r>
        <w:t>实验设计的严谨性，尤其是对比实验、消融实验与指标定义的完整性</w:t>
      </w:r>
      <w:r>
        <w:rPr>
          <w:rFonts w:hint="eastAsia" w:ascii="宋体" w:hAnsi="宋体" w:eastAsia="宋体" w:cs="宋体"/>
        </w:rPr>
        <w:t>。</w:t>
      </w:r>
    </w:p>
    <w:p w14:paraId="75044C20">
      <w:pPr>
        <w:pStyle w:val="4"/>
        <w:numPr>
          <w:ilvl w:val="0"/>
          <w:numId w:val="6"/>
        </w:numPr>
        <w:spacing w:after="50" w:line="288" w:lineRule="auto"/>
        <w:ind w:firstLineChars="0"/>
      </w:pPr>
      <w:r>
        <w:t>对失败案例、异常现象和误差来源的分析能力</w:t>
      </w:r>
      <w:r>
        <w:rPr>
          <w:rFonts w:hint="eastAsia" w:ascii="宋体" w:hAnsi="宋体" w:eastAsia="宋体" w:cs="宋体"/>
        </w:rPr>
        <w:t>。</w:t>
      </w:r>
    </w:p>
    <w:p w14:paraId="40E95BB0">
      <w:pPr>
        <w:pStyle w:val="4"/>
        <w:numPr>
          <w:ilvl w:val="0"/>
          <w:numId w:val="6"/>
        </w:numPr>
        <w:spacing w:after="50" w:line="288" w:lineRule="auto"/>
        <w:ind w:firstLineChars="0"/>
      </w:pPr>
      <w:r>
        <w:t>所提方法的潜在研究价值，包括准确性、稳定性、可扩展性与任务迁移潜力</w:t>
      </w:r>
      <w:r>
        <w:rPr>
          <w:rFonts w:hint="eastAsia" w:ascii="宋体" w:hAnsi="宋体" w:eastAsia="宋体" w:cs="宋体"/>
        </w:rPr>
        <w:t>。</w:t>
      </w:r>
    </w:p>
    <w:p w14:paraId="536F56B6">
      <w:pPr>
        <w:spacing w:after="80" w:line="297" w:lineRule="auto"/>
        <w:rPr>
          <w:b/>
          <w:bCs/>
          <w:sz w:val="24"/>
          <w:szCs w:val="28"/>
        </w:rPr>
      </w:pPr>
      <w:r>
        <w:rPr>
          <w:b/>
          <w:bCs/>
          <w:sz w:val="24"/>
          <w:szCs w:val="28"/>
        </w:rPr>
        <w:t>题目特色与</w:t>
      </w:r>
      <w:r>
        <w:rPr>
          <w:rFonts w:hint="eastAsia"/>
          <w:b/>
          <w:bCs/>
          <w:sz w:val="24"/>
          <w:szCs w:val="28"/>
        </w:rPr>
        <w:t>价值</w:t>
      </w:r>
    </w:p>
    <w:tbl>
      <w:tblPr>
        <w:tblStyle w:val="2"/>
        <w:tblW w:w="0" w:type="auto"/>
        <w:jc w:val="center"/>
        <w:tblLayout w:type="fixed"/>
        <w:tblCellMar>
          <w:top w:w="0" w:type="dxa"/>
          <w:left w:w="108" w:type="dxa"/>
          <w:bottom w:w="0" w:type="dxa"/>
          <w:right w:w="108" w:type="dxa"/>
        </w:tblCellMar>
      </w:tblPr>
      <w:tblGrid>
        <w:gridCol w:w="1814"/>
        <w:gridCol w:w="6917"/>
      </w:tblGrid>
      <w:tr w14:paraId="1DAC6547">
        <w:trPr>
          <w:jc w:val="center"/>
        </w:trPr>
        <w:tc>
          <w:tcPr>
            <w:tcW w:w="1814" w:type="dxa"/>
            <w:tcBorders>
              <w:top w:val="single" w:color="D9E2F3" w:sz="6" w:space="0"/>
              <w:left w:val="single" w:color="D9E2F3" w:sz="6" w:space="0"/>
              <w:bottom w:val="single" w:color="D9E2F3" w:sz="6" w:space="0"/>
              <w:right w:val="single" w:color="D9E2F3" w:sz="6" w:space="0"/>
            </w:tcBorders>
            <w:shd w:val="clear" w:color="auto" w:fill="F1F6FC"/>
            <w:tcMar>
              <w:top w:w="90" w:type="dxa"/>
              <w:left w:w="110" w:type="dxa"/>
              <w:bottom w:w="90" w:type="dxa"/>
              <w:right w:w="110" w:type="dxa"/>
            </w:tcMar>
            <w:vAlign w:val="center"/>
          </w:tcPr>
          <w:p w14:paraId="715E73E8">
            <w:pPr>
              <w:jc w:val="center"/>
            </w:pPr>
            <w:r>
              <w:rPr>
                <w:rFonts w:hint="eastAsia" w:ascii="宋体" w:hAnsi="宋体" w:eastAsia="宋体" w:cs="宋体"/>
                <w:b/>
                <w:color w:val="1F4E79"/>
                <w:sz w:val="20"/>
              </w:rPr>
              <w:t>适合对象</w:t>
            </w:r>
          </w:p>
        </w:tc>
        <w:tc>
          <w:tcPr>
            <w:tcW w:w="6917" w:type="dxa"/>
            <w:tcBorders>
              <w:top w:val="single" w:color="D9E2F3" w:sz="6" w:space="0"/>
              <w:left w:val="single" w:color="D9E2F3" w:sz="6" w:space="0"/>
              <w:bottom w:val="single" w:color="D9E2F3" w:sz="6" w:space="0"/>
              <w:right w:val="single" w:color="D9E2F3" w:sz="6" w:space="0"/>
            </w:tcBorders>
            <w:shd w:val="clear" w:color="auto" w:fill="FCFDFF"/>
            <w:tcMar>
              <w:top w:w="90" w:type="dxa"/>
              <w:left w:w="110" w:type="dxa"/>
              <w:bottom w:w="90" w:type="dxa"/>
              <w:right w:w="110" w:type="dxa"/>
            </w:tcMar>
            <w:vAlign w:val="center"/>
          </w:tcPr>
          <w:p w14:paraId="4F918BC8">
            <w:pPr>
              <w:spacing w:line="280" w:lineRule="auto"/>
            </w:pPr>
            <w:r>
              <w:rPr>
                <w:rFonts w:hint="eastAsia" w:ascii="宋体" w:hAnsi="宋体" w:eastAsia="宋体" w:cs="宋体"/>
                <w:sz w:val="20"/>
              </w:rPr>
              <w:t>对大模型机理分析、二阶信息建模、参数级可解释性与方法研究有较强兴趣的实习生。</w:t>
            </w:r>
          </w:p>
        </w:tc>
      </w:tr>
      <w:tr w14:paraId="1095C0B0">
        <w:trPr>
          <w:jc w:val="center"/>
        </w:trPr>
        <w:tc>
          <w:tcPr>
            <w:tcW w:w="1814" w:type="dxa"/>
            <w:tcBorders>
              <w:top w:val="single" w:color="D9E2F3" w:sz="6" w:space="0"/>
              <w:left w:val="single" w:color="D9E2F3" w:sz="6" w:space="0"/>
              <w:bottom w:val="single" w:color="D9E2F3" w:sz="6" w:space="0"/>
              <w:right w:val="single" w:color="D9E2F3" w:sz="6" w:space="0"/>
            </w:tcBorders>
            <w:shd w:val="clear" w:color="auto" w:fill="F1F6FC"/>
            <w:tcMar>
              <w:top w:w="90" w:type="dxa"/>
              <w:left w:w="110" w:type="dxa"/>
              <w:bottom w:w="90" w:type="dxa"/>
              <w:right w:w="110" w:type="dxa"/>
            </w:tcMar>
            <w:vAlign w:val="center"/>
          </w:tcPr>
          <w:p w14:paraId="79B624AA">
            <w:pPr>
              <w:jc w:val="center"/>
            </w:pPr>
            <w:r>
              <w:rPr>
                <w:rFonts w:hint="eastAsia" w:ascii="宋体" w:hAnsi="宋体" w:eastAsia="宋体" w:cs="宋体"/>
                <w:b/>
                <w:color w:val="1F4E79"/>
                <w:sz w:val="20"/>
              </w:rPr>
              <w:t>能力训练</w:t>
            </w:r>
          </w:p>
        </w:tc>
        <w:tc>
          <w:tcPr>
            <w:tcW w:w="6917" w:type="dxa"/>
            <w:tcBorders>
              <w:top w:val="single" w:color="D9E2F3" w:sz="6" w:space="0"/>
              <w:left w:val="single" w:color="D9E2F3" w:sz="6" w:space="0"/>
              <w:bottom w:val="single" w:color="D9E2F3" w:sz="6" w:space="0"/>
              <w:right w:val="single" w:color="D9E2F3" w:sz="6" w:space="0"/>
            </w:tcBorders>
            <w:shd w:val="clear" w:color="auto" w:fill="FCFDFF"/>
            <w:tcMar>
              <w:top w:w="90" w:type="dxa"/>
              <w:left w:w="110" w:type="dxa"/>
              <w:bottom w:w="90" w:type="dxa"/>
              <w:right w:w="110" w:type="dxa"/>
            </w:tcMar>
            <w:vAlign w:val="center"/>
          </w:tcPr>
          <w:p w14:paraId="5BA97FB9">
            <w:pPr>
              <w:spacing w:line="280" w:lineRule="auto"/>
            </w:pPr>
            <w:r>
              <w:rPr>
                <w:rFonts w:hint="eastAsia" w:ascii="宋体" w:hAnsi="宋体" w:eastAsia="宋体" w:cs="宋体"/>
                <w:sz w:val="20"/>
              </w:rPr>
              <w:t>覆盖理论理解、曲率建模、</w:t>
            </w:r>
            <w:r>
              <w:rPr>
                <w:sz w:val="20"/>
              </w:rPr>
              <w:t xml:space="preserve">teacher signal </w:t>
            </w:r>
            <w:r>
              <w:rPr>
                <w:rFonts w:hint="eastAsia" w:ascii="宋体" w:hAnsi="宋体" w:eastAsia="宋体" w:cs="宋体"/>
                <w:sz w:val="20"/>
              </w:rPr>
              <w:t>构造、实验设计、</w:t>
            </w:r>
            <w:r>
              <w:rPr>
                <w:sz w:val="20"/>
              </w:rPr>
              <w:t>ablation</w:t>
            </w:r>
            <w:r>
              <w:rPr>
                <w:rFonts w:hint="eastAsia" w:ascii="宋体" w:hAnsi="宋体" w:eastAsia="宋体" w:cs="宋体"/>
                <w:sz w:val="20"/>
              </w:rPr>
              <w:t>分析与失败案例复盘等完整研究流程。</w:t>
            </w:r>
          </w:p>
        </w:tc>
      </w:tr>
      <w:tr w14:paraId="0F8BA6A1">
        <w:trPr>
          <w:jc w:val="center"/>
        </w:trPr>
        <w:tc>
          <w:tcPr>
            <w:tcW w:w="1814" w:type="dxa"/>
            <w:tcBorders>
              <w:top w:val="single" w:color="D9E2F3" w:sz="6" w:space="0"/>
              <w:left w:val="single" w:color="D9E2F3" w:sz="6" w:space="0"/>
              <w:bottom w:val="single" w:color="D9E2F3" w:sz="6" w:space="0"/>
              <w:right w:val="single" w:color="D9E2F3" w:sz="6" w:space="0"/>
            </w:tcBorders>
            <w:shd w:val="clear" w:color="auto" w:fill="F1F6FC"/>
            <w:tcMar>
              <w:top w:w="90" w:type="dxa"/>
              <w:left w:w="110" w:type="dxa"/>
              <w:bottom w:w="90" w:type="dxa"/>
              <w:right w:w="110" w:type="dxa"/>
            </w:tcMar>
            <w:vAlign w:val="center"/>
          </w:tcPr>
          <w:p w14:paraId="5C0DE9AA">
            <w:pPr>
              <w:jc w:val="center"/>
            </w:pPr>
            <w:r>
              <w:rPr>
                <w:rFonts w:hint="eastAsia" w:ascii="宋体" w:hAnsi="宋体" w:eastAsia="宋体" w:cs="宋体"/>
                <w:b/>
                <w:color w:val="1F4E79"/>
                <w:sz w:val="20"/>
              </w:rPr>
              <w:t>预期价值</w:t>
            </w:r>
          </w:p>
        </w:tc>
        <w:tc>
          <w:tcPr>
            <w:tcW w:w="6917" w:type="dxa"/>
            <w:tcBorders>
              <w:top w:val="single" w:color="D9E2F3" w:sz="6" w:space="0"/>
              <w:left w:val="single" w:color="D9E2F3" w:sz="6" w:space="0"/>
              <w:bottom w:val="single" w:color="D9E2F3" w:sz="6" w:space="0"/>
              <w:right w:val="single" w:color="D9E2F3" w:sz="6" w:space="0"/>
            </w:tcBorders>
            <w:shd w:val="clear" w:color="auto" w:fill="FCFDFF"/>
            <w:tcMar>
              <w:top w:w="90" w:type="dxa"/>
              <w:left w:w="110" w:type="dxa"/>
              <w:bottom w:w="90" w:type="dxa"/>
              <w:right w:w="110" w:type="dxa"/>
            </w:tcMar>
            <w:vAlign w:val="center"/>
          </w:tcPr>
          <w:p w14:paraId="1CCA14C6">
            <w:pPr>
              <w:spacing w:line="280" w:lineRule="auto"/>
            </w:pPr>
            <w:r>
              <w:rPr>
                <w:rFonts w:hint="eastAsia" w:ascii="宋体" w:hAnsi="宋体" w:eastAsia="宋体" w:cs="宋体"/>
                <w:sz w:val="20"/>
              </w:rPr>
              <w:t>有望形成可复用的曲率建模模块，</w:t>
            </w:r>
            <w:bookmarkStart w:id="0" w:name="_GoBack"/>
            <w:bookmarkEnd w:id="0"/>
            <w:r>
              <w:rPr>
                <w:rFonts w:hint="eastAsia" w:ascii="宋体" w:hAnsi="宋体" w:eastAsia="宋体" w:cs="宋体"/>
                <w:sz w:val="20"/>
              </w:rPr>
              <w:t>为</w:t>
            </w:r>
            <w:r>
              <w:rPr>
                <w:sz w:val="20"/>
              </w:rPr>
              <w:t>MODEL SHAPLEY</w:t>
            </w:r>
            <w:r>
              <w:rPr>
                <w:rFonts w:hint="eastAsia" w:ascii="宋体" w:hAnsi="宋体" w:eastAsia="宋体" w:cs="宋体"/>
                <w:sz w:val="20"/>
              </w:rPr>
              <w:t>后续研究以及大模型参数级理解与精细控制提供方法基础。</w:t>
            </w:r>
          </w:p>
        </w:tc>
      </w:tr>
    </w:tbl>
    <w:p w14:paraId="25B54E28">
      <w:pPr>
        <w:jc w:val="center"/>
        <w:rPr>
          <w:rFonts w:ascii="宋体" w:hAnsi="宋体" w:eastAsia="宋体"/>
        </w:rPr>
      </w:pPr>
    </w:p>
    <w:p w14:paraId="5B913436">
      <w:pPr>
        <w:jc w:val="center"/>
        <w:rPr>
          <w:rFonts w:ascii="宋体" w:hAnsi="宋体" w:eastAsia="宋体"/>
        </w:rPr>
      </w:pPr>
    </w:p>
    <w:p w14:paraId="32E088E1"/>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C7559DD"/>
    <w:multiLevelType w:val="multilevel"/>
    <w:tmpl w:val="1C7559DD"/>
    <w:lvl w:ilvl="0" w:tentative="0">
      <w:start w:val="1"/>
      <w:numFmt w:val="decimal"/>
      <w:lvlText w:val="%1."/>
      <w:lvlJc w:val="left"/>
      <w:pPr>
        <w:ind w:left="474" w:hanging="360"/>
      </w:pPr>
      <w:rPr>
        <w:rFonts w:hint="default"/>
        <w:b/>
        <w:color w:val="1F4E79"/>
      </w:rPr>
    </w:lvl>
    <w:lvl w:ilvl="1" w:tentative="0">
      <w:start w:val="1"/>
      <w:numFmt w:val="lowerLetter"/>
      <w:lvlText w:val="%2)"/>
      <w:lvlJc w:val="left"/>
      <w:pPr>
        <w:ind w:left="954" w:hanging="420"/>
      </w:pPr>
    </w:lvl>
    <w:lvl w:ilvl="2" w:tentative="0">
      <w:start w:val="1"/>
      <w:numFmt w:val="lowerRoman"/>
      <w:lvlText w:val="%3."/>
      <w:lvlJc w:val="right"/>
      <w:pPr>
        <w:ind w:left="1374" w:hanging="420"/>
      </w:pPr>
    </w:lvl>
    <w:lvl w:ilvl="3" w:tentative="0">
      <w:start w:val="1"/>
      <w:numFmt w:val="decimal"/>
      <w:lvlText w:val="%4."/>
      <w:lvlJc w:val="left"/>
      <w:pPr>
        <w:ind w:left="1794" w:hanging="420"/>
      </w:pPr>
    </w:lvl>
    <w:lvl w:ilvl="4" w:tentative="0">
      <w:start w:val="1"/>
      <w:numFmt w:val="lowerLetter"/>
      <w:lvlText w:val="%5)"/>
      <w:lvlJc w:val="left"/>
      <w:pPr>
        <w:ind w:left="2214" w:hanging="420"/>
      </w:pPr>
    </w:lvl>
    <w:lvl w:ilvl="5" w:tentative="0">
      <w:start w:val="1"/>
      <w:numFmt w:val="lowerRoman"/>
      <w:lvlText w:val="%6."/>
      <w:lvlJc w:val="right"/>
      <w:pPr>
        <w:ind w:left="2634" w:hanging="420"/>
      </w:pPr>
    </w:lvl>
    <w:lvl w:ilvl="6" w:tentative="0">
      <w:start w:val="1"/>
      <w:numFmt w:val="decimal"/>
      <w:lvlText w:val="%7."/>
      <w:lvlJc w:val="left"/>
      <w:pPr>
        <w:ind w:left="3054" w:hanging="420"/>
      </w:pPr>
    </w:lvl>
    <w:lvl w:ilvl="7" w:tentative="0">
      <w:start w:val="1"/>
      <w:numFmt w:val="lowerLetter"/>
      <w:lvlText w:val="%8)"/>
      <w:lvlJc w:val="left"/>
      <w:pPr>
        <w:ind w:left="3474" w:hanging="420"/>
      </w:pPr>
    </w:lvl>
    <w:lvl w:ilvl="8" w:tentative="0">
      <w:start w:val="1"/>
      <w:numFmt w:val="lowerRoman"/>
      <w:lvlText w:val="%9."/>
      <w:lvlJc w:val="right"/>
      <w:pPr>
        <w:ind w:left="3894" w:hanging="420"/>
      </w:pPr>
    </w:lvl>
  </w:abstractNum>
  <w:abstractNum w:abstractNumId="1">
    <w:nsid w:val="23EB341F"/>
    <w:multiLevelType w:val="multilevel"/>
    <w:tmpl w:val="23EB341F"/>
    <w:lvl w:ilvl="0" w:tentative="0">
      <w:start w:val="1"/>
      <w:numFmt w:val="decimal"/>
      <w:lvlText w:val="%1."/>
      <w:lvlJc w:val="left"/>
      <w:pPr>
        <w:ind w:left="474" w:hanging="360"/>
      </w:pPr>
      <w:rPr>
        <w:rFonts w:hint="default"/>
        <w:b/>
        <w:color w:val="1F4E79"/>
      </w:rPr>
    </w:lvl>
    <w:lvl w:ilvl="1" w:tentative="0">
      <w:start w:val="1"/>
      <w:numFmt w:val="lowerLetter"/>
      <w:lvlText w:val="%2)"/>
      <w:lvlJc w:val="left"/>
      <w:pPr>
        <w:ind w:left="954" w:hanging="420"/>
      </w:pPr>
    </w:lvl>
    <w:lvl w:ilvl="2" w:tentative="0">
      <w:start w:val="1"/>
      <w:numFmt w:val="lowerRoman"/>
      <w:lvlText w:val="%3."/>
      <w:lvlJc w:val="right"/>
      <w:pPr>
        <w:ind w:left="1374" w:hanging="420"/>
      </w:pPr>
    </w:lvl>
    <w:lvl w:ilvl="3" w:tentative="0">
      <w:start w:val="1"/>
      <w:numFmt w:val="decimal"/>
      <w:lvlText w:val="%4."/>
      <w:lvlJc w:val="left"/>
      <w:pPr>
        <w:ind w:left="1794" w:hanging="420"/>
      </w:pPr>
    </w:lvl>
    <w:lvl w:ilvl="4" w:tentative="0">
      <w:start w:val="1"/>
      <w:numFmt w:val="lowerLetter"/>
      <w:lvlText w:val="%5)"/>
      <w:lvlJc w:val="left"/>
      <w:pPr>
        <w:ind w:left="2214" w:hanging="420"/>
      </w:pPr>
    </w:lvl>
    <w:lvl w:ilvl="5" w:tentative="0">
      <w:start w:val="1"/>
      <w:numFmt w:val="lowerRoman"/>
      <w:lvlText w:val="%6."/>
      <w:lvlJc w:val="right"/>
      <w:pPr>
        <w:ind w:left="2634" w:hanging="420"/>
      </w:pPr>
    </w:lvl>
    <w:lvl w:ilvl="6" w:tentative="0">
      <w:start w:val="1"/>
      <w:numFmt w:val="decimal"/>
      <w:lvlText w:val="%7."/>
      <w:lvlJc w:val="left"/>
      <w:pPr>
        <w:ind w:left="3054" w:hanging="420"/>
      </w:pPr>
    </w:lvl>
    <w:lvl w:ilvl="7" w:tentative="0">
      <w:start w:val="1"/>
      <w:numFmt w:val="lowerLetter"/>
      <w:lvlText w:val="%8)"/>
      <w:lvlJc w:val="left"/>
      <w:pPr>
        <w:ind w:left="3474" w:hanging="420"/>
      </w:pPr>
    </w:lvl>
    <w:lvl w:ilvl="8" w:tentative="0">
      <w:start w:val="1"/>
      <w:numFmt w:val="lowerRoman"/>
      <w:lvlText w:val="%9."/>
      <w:lvlJc w:val="right"/>
      <w:pPr>
        <w:ind w:left="3894" w:hanging="420"/>
      </w:pPr>
    </w:lvl>
  </w:abstractNum>
  <w:abstractNum w:abstractNumId="2">
    <w:nsid w:val="2B3539A7"/>
    <w:multiLevelType w:val="multilevel"/>
    <w:tmpl w:val="2B3539A7"/>
    <w:lvl w:ilvl="0" w:tentative="0">
      <w:start w:val="1"/>
      <w:numFmt w:val="decimal"/>
      <w:lvlText w:val="%1."/>
      <w:lvlJc w:val="left"/>
      <w:pPr>
        <w:ind w:left="474" w:hanging="360"/>
      </w:pPr>
      <w:rPr>
        <w:rFonts w:hint="default"/>
        <w:b/>
        <w:color w:val="1F4E79"/>
      </w:rPr>
    </w:lvl>
    <w:lvl w:ilvl="1" w:tentative="0">
      <w:start w:val="1"/>
      <w:numFmt w:val="lowerLetter"/>
      <w:lvlText w:val="%2)"/>
      <w:lvlJc w:val="left"/>
      <w:pPr>
        <w:ind w:left="954" w:hanging="420"/>
      </w:pPr>
    </w:lvl>
    <w:lvl w:ilvl="2" w:tentative="0">
      <w:start w:val="1"/>
      <w:numFmt w:val="lowerRoman"/>
      <w:lvlText w:val="%3."/>
      <w:lvlJc w:val="right"/>
      <w:pPr>
        <w:ind w:left="1374" w:hanging="420"/>
      </w:pPr>
    </w:lvl>
    <w:lvl w:ilvl="3" w:tentative="0">
      <w:start w:val="1"/>
      <w:numFmt w:val="decimal"/>
      <w:lvlText w:val="%4."/>
      <w:lvlJc w:val="left"/>
      <w:pPr>
        <w:ind w:left="1794" w:hanging="420"/>
      </w:pPr>
    </w:lvl>
    <w:lvl w:ilvl="4" w:tentative="0">
      <w:start w:val="1"/>
      <w:numFmt w:val="lowerLetter"/>
      <w:lvlText w:val="%5)"/>
      <w:lvlJc w:val="left"/>
      <w:pPr>
        <w:ind w:left="2214" w:hanging="420"/>
      </w:pPr>
    </w:lvl>
    <w:lvl w:ilvl="5" w:tentative="0">
      <w:start w:val="1"/>
      <w:numFmt w:val="lowerRoman"/>
      <w:lvlText w:val="%6."/>
      <w:lvlJc w:val="right"/>
      <w:pPr>
        <w:ind w:left="2634" w:hanging="420"/>
      </w:pPr>
    </w:lvl>
    <w:lvl w:ilvl="6" w:tentative="0">
      <w:start w:val="1"/>
      <w:numFmt w:val="decimal"/>
      <w:lvlText w:val="%7."/>
      <w:lvlJc w:val="left"/>
      <w:pPr>
        <w:ind w:left="3054" w:hanging="420"/>
      </w:pPr>
    </w:lvl>
    <w:lvl w:ilvl="7" w:tentative="0">
      <w:start w:val="1"/>
      <w:numFmt w:val="lowerLetter"/>
      <w:lvlText w:val="%8)"/>
      <w:lvlJc w:val="left"/>
      <w:pPr>
        <w:ind w:left="3474" w:hanging="420"/>
      </w:pPr>
    </w:lvl>
    <w:lvl w:ilvl="8" w:tentative="0">
      <w:start w:val="1"/>
      <w:numFmt w:val="lowerRoman"/>
      <w:lvlText w:val="%9."/>
      <w:lvlJc w:val="right"/>
      <w:pPr>
        <w:ind w:left="3894" w:hanging="420"/>
      </w:pPr>
    </w:lvl>
  </w:abstractNum>
  <w:abstractNum w:abstractNumId="3">
    <w:nsid w:val="5005089D"/>
    <w:multiLevelType w:val="multilevel"/>
    <w:tmpl w:val="5005089D"/>
    <w:lvl w:ilvl="0" w:tentative="0">
      <w:start w:val="1"/>
      <w:numFmt w:val="decimal"/>
      <w:lvlText w:val="%1."/>
      <w:lvlJc w:val="left"/>
      <w:pPr>
        <w:ind w:left="474" w:hanging="360"/>
      </w:pPr>
      <w:rPr>
        <w:rFonts w:hint="default"/>
        <w:b/>
        <w:color w:val="1F4E79"/>
      </w:rPr>
    </w:lvl>
    <w:lvl w:ilvl="1" w:tentative="0">
      <w:start w:val="1"/>
      <w:numFmt w:val="lowerLetter"/>
      <w:lvlText w:val="%2)"/>
      <w:lvlJc w:val="left"/>
      <w:pPr>
        <w:ind w:left="954" w:hanging="420"/>
      </w:pPr>
    </w:lvl>
    <w:lvl w:ilvl="2" w:tentative="0">
      <w:start w:val="1"/>
      <w:numFmt w:val="lowerRoman"/>
      <w:lvlText w:val="%3."/>
      <w:lvlJc w:val="right"/>
      <w:pPr>
        <w:ind w:left="1374" w:hanging="420"/>
      </w:pPr>
    </w:lvl>
    <w:lvl w:ilvl="3" w:tentative="0">
      <w:start w:val="1"/>
      <w:numFmt w:val="decimal"/>
      <w:lvlText w:val="%4."/>
      <w:lvlJc w:val="left"/>
      <w:pPr>
        <w:ind w:left="1794" w:hanging="420"/>
      </w:pPr>
    </w:lvl>
    <w:lvl w:ilvl="4" w:tentative="0">
      <w:start w:val="1"/>
      <w:numFmt w:val="lowerLetter"/>
      <w:lvlText w:val="%5)"/>
      <w:lvlJc w:val="left"/>
      <w:pPr>
        <w:ind w:left="2214" w:hanging="420"/>
      </w:pPr>
    </w:lvl>
    <w:lvl w:ilvl="5" w:tentative="0">
      <w:start w:val="1"/>
      <w:numFmt w:val="lowerRoman"/>
      <w:lvlText w:val="%6."/>
      <w:lvlJc w:val="right"/>
      <w:pPr>
        <w:ind w:left="2634" w:hanging="420"/>
      </w:pPr>
    </w:lvl>
    <w:lvl w:ilvl="6" w:tentative="0">
      <w:start w:val="1"/>
      <w:numFmt w:val="decimal"/>
      <w:lvlText w:val="%7."/>
      <w:lvlJc w:val="left"/>
      <w:pPr>
        <w:ind w:left="3054" w:hanging="420"/>
      </w:pPr>
    </w:lvl>
    <w:lvl w:ilvl="7" w:tentative="0">
      <w:start w:val="1"/>
      <w:numFmt w:val="lowerLetter"/>
      <w:lvlText w:val="%8)"/>
      <w:lvlJc w:val="left"/>
      <w:pPr>
        <w:ind w:left="3474" w:hanging="420"/>
      </w:pPr>
    </w:lvl>
    <w:lvl w:ilvl="8" w:tentative="0">
      <w:start w:val="1"/>
      <w:numFmt w:val="lowerRoman"/>
      <w:lvlText w:val="%9."/>
      <w:lvlJc w:val="right"/>
      <w:pPr>
        <w:ind w:left="3894" w:hanging="420"/>
      </w:pPr>
    </w:lvl>
  </w:abstractNum>
  <w:abstractNum w:abstractNumId="4">
    <w:nsid w:val="5F550267"/>
    <w:multiLevelType w:val="multilevel"/>
    <w:tmpl w:val="5F550267"/>
    <w:lvl w:ilvl="0" w:tentative="0">
      <w:start w:val="1"/>
      <w:numFmt w:val="decimal"/>
      <w:lvlText w:val="%1."/>
      <w:lvlJc w:val="left"/>
      <w:pPr>
        <w:ind w:left="474" w:hanging="360"/>
      </w:pPr>
      <w:rPr>
        <w:rFonts w:hint="default"/>
        <w:b/>
        <w:color w:val="1F4E79"/>
      </w:rPr>
    </w:lvl>
    <w:lvl w:ilvl="1" w:tentative="0">
      <w:start w:val="1"/>
      <w:numFmt w:val="lowerLetter"/>
      <w:lvlText w:val="%2)"/>
      <w:lvlJc w:val="left"/>
      <w:pPr>
        <w:ind w:left="954" w:hanging="420"/>
      </w:pPr>
    </w:lvl>
    <w:lvl w:ilvl="2" w:tentative="0">
      <w:start w:val="1"/>
      <w:numFmt w:val="lowerRoman"/>
      <w:lvlText w:val="%3."/>
      <w:lvlJc w:val="right"/>
      <w:pPr>
        <w:ind w:left="1374" w:hanging="420"/>
      </w:pPr>
    </w:lvl>
    <w:lvl w:ilvl="3" w:tentative="0">
      <w:start w:val="1"/>
      <w:numFmt w:val="decimal"/>
      <w:lvlText w:val="%4."/>
      <w:lvlJc w:val="left"/>
      <w:pPr>
        <w:ind w:left="1794" w:hanging="420"/>
      </w:pPr>
    </w:lvl>
    <w:lvl w:ilvl="4" w:tentative="0">
      <w:start w:val="1"/>
      <w:numFmt w:val="lowerLetter"/>
      <w:lvlText w:val="%5)"/>
      <w:lvlJc w:val="left"/>
      <w:pPr>
        <w:ind w:left="2214" w:hanging="420"/>
      </w:pPr>
    </w:lvl>
    <w:lvl w:ilvl="5" w:tentative="0">
      <w:start w:val="1"/>
      <w:numFmt w:val="lowerRoman"/>
      <w:lvlText w:val="%6."/>
      <w:lvlJc w:val="right"/>
      <w:pPr>
        <w:ind w:left="2634" w:hanging="420"/>
      </w:pPr>
    </w:lvl>
    <w:lvl w:ilvl="6" w:tentative="0">
      <w:start w:val="1"/>
      <w:numFmt w:val="decimal"/>
      <w:lvlText w:val="%7."/>
      <w:lvlJc w:val="left"/>
      <w:pPr>
        <w:ind w:left="3054" w:hanging="420"/>
      </w:pPr>
    </w:lvl>
    <w:lvl w:ilvl="7" w:tentative="0">
      <w:start w:val="1"/>
      <w:numFmt w:val="lowerLetter"/>
      <w:lvlText w:val="%8)"/>
      <w:lvlJc w:val="left"/>
      <w:pPr>
        <w:ind w:left="3474" w:hanging="420"/>
      </w:pPr>
    </w:lvl>
    <w:lvl w:ilvl="8" w:tentative="0">
      <w:start w:val="1"/>
      <w:numFmt w:val="lowerRoman"/>
      <w:lvlText w:val="%9."/>
      <w:lvlJc w:val="right"/>
      <w:pPr>
        <w:ind w:left="3894" w:hanging="420"/>
      </w:pPr>
    </w:lvl>
  </w:abstractNum>
  <w:abstractNum w:abstractNumId="5">
    <w:nsid w:val="66C61083"/>
    <w:multiLevelType w:val="multilevel"/>
    <w:tmpl w:val="66C61083"/>
    <w:lvl w:ilvl="0" w:tentative="0">
      <w:start w:val="1"/>
      <w:numFmt w:val="decimal"/>
      <w:lvlText w:val="%1."/>
      <w:lvlJc w:val="left"/>
      <w:pPr>
        <w:ind w:left="474" w:hanging="360"/>
      </w:pPr>
      <w:rPr>
        <w:rFonts w:hint="default"/>
        <w:b/>
        <w:color w:val="1F4E79"/>
      </w:rPr>
    </w:lvl>
    <w:lvl w:ilvl="1" w:tentative="0">
      <w:start w:val="1"/>
      <w:numFmt w:val="lowerLetter"/>
      <w:lvlText w:val="%2)"/>
      <w:lvlJc w:val="left"/>
      <w:pPr>
        <w:ind w:left="954" w:hanging="420"/>
      </w:pPr>
    </w:lvl>
    <w:lvl w:ilvl="2" w:tentative="0">
      <w:start w:val="1"/>
      <w:numFmt w:val="lowerRoman"/>
      <w:lvlText w:val="%3."/>
      <w:lvlJc w:val="right"/>
      <w:pPr>
        <w:ind w:left="1374" w:hanging="420"/>
      </w:pPr>
    </w:lvl>
    <w:lvl w:ilvl="3" w:tentative="0">
      <w:start w:val="1"/>
      <w:numFmt w:val="decimal"/>
      <w:lvlText w:val="%4."/>
      <w:lvlJc w:val="left"/>
      <w:pPr>
        <w:ind w:left="1794" w:hanging="420"/>
      </w:pPr>
    </w:lvl>
    <w:lvl w:ilvl="4" w:tentative="0">
      <w:start w:val="1"/>
      <w:numFmt w:val="lowerLetter"/>
      <w:lvlText w:val="%5)"/>
      <w:lvlJc w:val="left"/>
      <w:pPr>
        <w:ind w:left="2214" w:hanging="420"/>
      </w:pPr>
    </w:lvl>
    <w:lvl w:ilvl="5" w:tentative="0">
      <w:start w:val="1"/>
      <w:numFmt w:val="lowerRoman"/>
      <w:lvlText w:val="%6."/>
      <w:lvlJc w:val="right"/>
      <w:pPr>
        <w:ind w:left="2634" w:hanging="420"/>
      </w:pPr>
    </w:lvl>
    <w:lvl w:ilvl="6" w:tentative="0">
      <w:start w:val="1"/>
      <w:numFmt w:val="decimal"/>
      <w:lvlText w:val="%7."/>
      <w:lvlJc w:val="left"/>
      <w:pPr>
        <w:ind w:left="3054" w:hanging="420"/>
      </w:pPr>
    </w:lvl>
    <w:lvl w:ilvl="7" w:tentative="0">
      <w:start w:val="1"/>
      <w:numFmt w:val="lowerLetter"/>
      <w:lvlText w:val="%8)"/>
      <w:lvlJc w:val="left"/>
      <w:pPr>
        <w:ind w:left="3474" w:hanging="420"/>
      </w:pPr>
    </w:lvl>
    <w:lvl w:ilvl="8" w:tentative="0">
      <w:start w:val="1"/>
      <w:numFmt w:val="lowerRoman"/>
      <w:lvlText w:val="%9."/>
      <w:lvlJc w:val="right"/>
      <w:pPr>
        <w:ind w:left="3894" w:hanging="420"/>
      </w:pPr>
    </w:lvl>
  </w:abstractNum>
  <w:num w:numId="1">
    <w:abstractNumId w:val="0"/>
  </w:num>
  <w:num w:numId="2">
    <w:abstractNumId w:val="1"/>
  </w:num>
  <w:num w:numId="3">
    <w:abstractNumId w:val="5"/>
  </w:num>
  <w:num w:numId="4">
    <w:abstractNumId w:val="3"/>
  </w:num>
  <w:num w:numId="5">
    <w:abstractNumId w:val="2"/>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24"/>
  <w:doNotDisplayPageBoundaries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3C2A"/>
    <w:rsid w:val="00047494"/>
    <w:rsid w:val="00343C2A"/>
    <w:rsid w:val="007439FF"/>
    <w:rsid w:val="0098070A"/>
    <w:rsid w:val="00A35DC3"/>
    <w:rsid w:val="00A64F0A"/>
    <w:rsid w:val="00B20D66"/>
    <w:rsid w:val="00BA2275"/>
    <w:rsid w:val="EE3E8E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3">
    <w:name w:val="Default Paragraph Font"/>
    <w:semiHidden/>
    <w:unhideWhenUsed/>
    <w:uiPriority w:val="1"/>
  </w:style>
  <w:style w:type="table" w:default="1" w:styleId="2">
    <w:name w:val="Normal Table"/>
    <w:semiHidden/>
    <w:unhideWhenUsed/>
    <w:uiPriority w:val="99"/>
    <w:tblPr>
      <w:tblCellMar>
        <w:top w:w="0" w:type="dxa"/>
        <w:left w:w="108" w:type="dxa"/>
        <w:bottom w:w="0" w:type="dxa"/>
        <w:right w:w="108" w:type="dxa"/>
      </w:tblCellMar>
    </w:tblPr>
  </w:style>
  <w:style w:type="paragraph" w:styleId="4">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652</Words>
  <Characters>3718</Characters>
  <Lines>30</Lines>
  <Paragraphs>8</Paragraphs>
  <TotalTime>179</TotalTime>
  <ScaleCrop>false</ScaleCrop>
  <LinksUpToDate>false</LinksUpToDate>
  <CharactersWithSpaces>4362</CharactersWithSpaces>
  <Application>WPS Office_7.2.2.8955_F1E327BC-269C-435d-A152-05C5408002CA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2026-04-10T12:31:00Z</dcterms:created>
  <dc:creator>初 旭</dc:creator>
  <cp:lastModifiedBy>@</cp:lastModifiedBy>
  <dcterms:modified xsi:type="dcterms:W3CDTF">2026-04-10T15:34:48Z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2052-7.2.2.8955</vt:lpwstr>
  </property>
  <property fmtid="{D5CDD505-2E9C-101B-9397-08002B2CF9AE}" pid="3" name="ICV">
    <vt:lpwstr>B6D5219CF036585418A8D8690087B3BB_42</vt:lpwstr>
  </property>
</Properties>
</file>