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b/>
          <w:bCs/>
          <w:color w:val="1F3864"/>
          <w:sz w:val="32"/>
          <w:szCs w:val="32"/>
        </w:rPr>
        <w:t>Assignment 2 — Build Your Knowledge Base</w:t>
      </w:r>
    </w:p>
    <w:p>
      <w:pPr>
        <w:pStyle w:val="Normal"/>
        <w:spacing w:before="0" w:after="100"/>
        <w:rPr/>
      </w:pPr>
      <w:r>
        <w:rPr>
          <w:i/>
          <w:iCs/>
          <w:color w:val="595959"/>
          <w:sz w:val="18"/>
          <w:szCs w:val="18"/>
        </w:rPr>
        <w:t>Team of 3 · Milestone 2 of 4 · Type your answers directly in the blank cells — they grow as you type.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1F2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</w:rPr>
              <w:t xml:space="preserve">Strict compliance: </w:t>
            </w:r>
            <w:r>
              <w:rPr/>
              <w:t>your submission ZIP must exactly match the folder/file structure on the Submission page. Automated grading rejects anything that doesn't — check before you submit.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98"/>
        <w:gridCol w:w="5862"/>
      </w:tblGrid>
      <w:tr>
        <w:trPr/>
        <w:tc>
          <w:tcPr>
            <w:tcW w:w="3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Project name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the same project name you used in Assignment 1</w:t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20"/>
              <w:rPr>
                <w:sz w:val="21"/>
                <w:szCs w:val="21"/>
              </w:rPr>
            </w:pPr>
            <w:r>
              <w:rPr>
                <w:b/>
                <w:bCs/>
                <w:color w:val="111111"/>
                <w:sz w:val="21"/>
                <w:szCs w:val="21"/>
              </w:rPr>
              <w:t>Decoding the Archives</w:t>
            </w:r>
          </w:p>
        </w:tc>
      </w:tr>
    </w:tbl>
    <w:p>
      <w:pPr>
        <w:pStyle w:val="Normal"/>
        <w:spacing w:before="120" w:after="60"/>
        <w:rPr/>
      </w:pPr>
      <w:r>
        <w:rPr>
          <w:b/>
          <w:bCs/>
          <w:sz w:val="22"/>
          <w:szCs w:val="22"/>
        </w:rPr>
        <w:t>Team members</w:t>
      </w:r>
    </w:p>
    <w:p>
      <w:pPr>
        <w:pStyle w:val="Normal"/>
        <w:spacing w:before="0" w:after="100"/>
        <w:rPr/>
      </w:pPr>
      <w:r>
        <w:rPr>
          <w:i/>
          <w:iCs/>
          <w:color w:val="595959"/>
          <w:sz w:val="18"/>
          <w:szCs w:val="18"/>
        </w:rPr>
        <w:t>In 'Worked sections', list the sections each member led. Every section must be owned by someone; each member submits the AI-chat behind their own sections (Section 8).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98"/>
        <w:gridCol w:w="3000"/>
        <w:gridCol w:w="2362"/>
        <w:gridCol w:w="2300"/>
      </w:tblGrid>
      <w:tr>
        <w:trPr>
          <w:tblHeader w:val="true"/>
        </w:trPr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Team member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Student number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Worked sections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Student 1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Nabiha Tahseen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2105031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[confirm which sections Nabiha led]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Student 2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Atika Tabassum Suchi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2105053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1,2,3(partial),4(partial),5(partial)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Student 3</w:t>
            </w:r>
          </w:p>
        </w:tc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Fariha Ifrat</w:t>
            </w:r>
          </w:p>
        </w:tc>
        <w:tc>
          <w:tcPr>
            <w:tcW w:w="2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2105059</w:t>
            </w:r>
          </w:p>
        </w:tc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1,4(partial),7(partial)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1F2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</w:rPr>
              <w:t xml:space="preserve">What this assignment is: </w:t>
            </w:r>
            <w:r>
              <w:rPr/>
              <w:t>You BUILD the knowledge base — the front half of the pipeline that turns scanned pages into searchable text: ingest &amp; clean the scans, (optionally) enhance them, detect layout, run OCR, then chunk, embed, and index. You choose the models and parameters; the repo fixes where each piece goes. This milestone produces working code and evidence it reads and retrieves.</w:t>
            </w:r>
          </w:p>
          <w:p>
            <w:pPr>
              <w:pStyle w:val="Normal"/>
              <w:spacing w:before="0" w:after="60"/>
              <w:rPr/>
            </w:pPr>
            <w:r>
              <w:rPr>
                <w:b/>
                <w:bCs/>
              </w:rPr>
              <w:t xml:space="preserve">What to hand in: </w:t>
            </w:r>
            <w:r>
              <w:rPr/>
              <w:t>Push everything to your team's PUBLIC GitHub repo, then tag it: git add -A &amp;&amp; git commit -m "a2-submit" &amp;&amp; git tag a2-submit &amp;&amp; git push origin main --tags. The tag IS your submission (deadlines are read from GitHub's servers) — do NOT upload a ZIP. Contents: the filled form in forms/, the repo with ingest / vision / index stages implemented, the built index (or a script that builds it), notebooks/kb_demo.ipynb showing OCR quality and one retrieval example, your updated configs/design_choices.md, and one AI-chat transcript per member. ALSO CARRIED FORWARD FROM A1 — the code stub was released after A1, so these are graded here for the first time: configs/task.yaml, data/provenance.md plus your corpus (or scripts/get_data.sh), notebooks/eda.ipynb, grading_kit/manifest.yaml, and grading_kit/heldout_pages/ with labels.jsonl.</w:t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Section 1 — Recap from Assignment 1</w:t>
      </w:r>
    </w:p>
    <w:p>
      <w:pPr>
        <w:pStyle w:val="Normal"/>
        <w:spacing w:before="0" w:after="100"/>
        <w:rPr/>
      </w:pPr>
      <w:r>
        <w:rPr>
          <w:i/>
          <w:iCs/>
          <w:color w:val="595959"/>
          <w:sz w:val="18"/>
          <w:szCs w:val="18"/>
        </w:rPr>
        <w:t>Copy these from A1 so this form stands alone. Do NOT change the success metric — your system in A3 is judged on it.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98"/>
        <w:gridCol w:w="5862"/>
      </w:tblGrid>
      <w:tr>
        <w:trPr/>
        <w:tc>
          <w:tcPr>
            <w:tcW w:w="3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Our three choices (from A1)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domain · data speciality · primary NFR + target — one line each.</w:t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Domain: Bengali-medium literature education (HSC/Honours Bengali-lit students &amp; tutors, Tagore set texts).</w:t>
            </w:r>
          </w:p>
          <w:p>
            <w:pPr>
              <w:pStyle w:val="Normal"/>
              <w:rPr/>
            </w:pPr>
            <w:r>
              <w:rPr/>
              <w:t>Data speciality: dirty-ocr — IA's own OCR is the only text layer this corpus ships with; no independent gold transcription came with it.</w:t>
            </w:r>
          </w:p>
          <w:p>
            <w:pPr>
              <w:pStyle w:val="Normal"/>
              <w:rPr/>
            </w:pPr>
            <w:r>
              <w:rPr/>
              <w:t>Primary NFR: Explainable — target ECR ≥ 0.80 (page_id + line_id + verbatim span + tool trace + silver/gold evidence-tier disclosure, all four required per answer).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Success metric (from A1)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the single answer-quality metric and target, unchanged.</w:t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Explanation-Completeness Rate (ECR) ≥ 0.80 — unchanged from A1.</w:t>
            </w:r>
          </w:p>
        </w:tc>
      </w:tr>
      <w:tr>
        <w:trPr/>
        <w:tc>
          <w:tcPr>
            <w:tcW w:w="3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Our corpus (from A1)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source, size (pages/words), and the one thing that makes it hard to read.</w:t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Source: Rabindra Rachanabali (রবীন্দ্র রচনাবলী), Vol. 25, Internet Archive item RABINDRARACHANABALI, CC0-1.0. 437 scanned pages / 87,848 words / ~9MB. Hardest to read: 1950s-era Bengali letterpress printing — dense conjunct consonants (যুক্তাক্ষর) and dependent vowel signs (matras) cause character-segmentation errors in conventional OCR, compounded by aged paper and uneven illumination.</w:t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Section 2 — The Structure We Exploit</w:t>
      </w:r>
    </w:p>
    <w:p>
      <w:pPr>
        <w:pStyle w:val="Normal"/>
        <w:spacing w:before="0" w:after="100"/>
        <w:rPr/>
      </w:pPr>
      <w:r>
        <w:rPr>
          <w:i/>
          <w:iCs/>
          <w:color w:val="595959"/>
          <w:sz w:val="18"/>
          <w:szCs w:val="18"/>
        </w:rPr>
        <w:t>Every model choice is a bet on structure in the data. Name the structure your pipeline relies on, and the things it must ignore.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98"/>
        <w:gridCol w:w="5862"/>
      </w:tblGrid>
      <w:tr>
        <w:trPr/>
        <w:tc>
          <w:tcPr>
            <w:tcW w:w="3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Structure in the page image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what a vision model can exploit — nearby pixels form strokes/characters; a character looks the same when shifted. Drives your layout &amp; enhancement choices.</w:t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Predominantly single-column text, with variation coming from poetry indentation and section headings, not multi-column layout (confirmed in A1's corpus analysis) — this is why we chose Tesseract's own line-grouping heuristic over a trained layout detector (Detectron2) for Stage 2: a dedicated detector would solve a structural problem (columns, tables, figures) this corpus doesn't actually have.</w:t>
            </w:r>
          </w:p>
        </w:tc>
      </w:tr>
      <w:tr>
        <w:trPr/>
        <w:tc>
          <w:tcPr>
            <w:tcW w:w="3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Structure in the text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what a sequence model can exploit — reading order and context carry meaning; conjuncts/ligatures span characters. Drives your OCR &amp; embedding choices.</w:t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Reading order is strictly top-to-bottom, left-to-right within a detected line band (vision/layout.py's banding sort), and Bengali conjuncts/matras span multiple Unicode codepoints per grapheme — this drives both the OCR crop padding (4px, protects ascenders/descenders at box edges) and the embedding choice (multilingual-e5-base, not an English-only encoder, since Bengali semantic similarity has no reliable proxy in English embedding space).</w:t>
            </w:r>
          </w:p>
        </w:tc>
      </w:tr>
      <w:tr>
        <w:trPr/>
        <w:tc>
          <w:tcPr>
            <w:tcW w:w="3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What should NOT change the answer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variations the system must be robust to — page position, font, mild skew, scan noise, ink bleed. Knowing these points you to the right model and augmentation.</w:t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Page position/orientation (deskew corrects skew &gt;0.5°), scan noise (conditional denoising via Laplacian-variance noise detection), and font/ink variation across the 6 literary works in the corpus — the OCR/index pipeline is applied uniformly regardless of which work a page belongs to.</w:t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Section 3 — Components &amp; Options We Considered</w:t>
      </w:r>
    </w:p>
    <w:p>
      <w:pPr>
        <w:pStyle w:val="Normal"/>
        <w:spacing w:before="0" w:after="100"/>
        <w:rPr/>
      </w:pPr>
      <w:r>
        <w:rPr/>
        <w:t xml:space="preserve">For each stage, name the options you compared and your choice. </w:t>
      </w:r>
      <w:r>
        <w:rPr>
          <w:b/>
          <w:bCs/>
        </w:rPr>
        <w:t>At least one choice must be an existing published/pretrained method you reproduce and adapt</w:t>
      </w:r>
      <w:r>
        <w:rPr/>
        <w:t xml:space="preserve"> (your OCR foundation is the natural one — reproducing someone else's method is the core skill for adopting whatever comes next). Mark it in the last column.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98"/>
        <w:gridCol w:w="2902"/>
        <w:gridCol w:w="3198"/>
        <w:gridCol w:w="1562"/>
      </w:tblGrid>
      <w:tr>
        <w:trPr>
          <w:tblHeader w:val="true"/>
        </w:trPr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Options we compared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Our choice + why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Reproduced? (≥1 yes)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Enhancement (bonus)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Options: classical denoise vs a VAE/diffusion enhancer vs none.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Classical preprocessing only (deskew/denoise/binarize); the VAE/diffusion Enhancer class exists in ingest/enhance.py but its train()/apply() are unimplemented stubs — not attempted this milestone, flagged as a bonus we did not pursue given time constraints.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No (not implemented)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Layout detection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Options: heuristic line-grouping (Tesseract image_to_data) vs a trained detection model (Detectron2).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Tesseract's own block/paragraph/line word-box grouping, banded into reading order by center-y clustering. A trained detector was scoped in config.yaml (detectron2:layout) but never wired in — A1's structure analysis found this corpus has no multi-column/table/figure layout complexity that would justify one.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Yes — Tesseract's layout analysis is itself a pretrained/shipped capability we reproduce as-is, unmodified.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OCR / HTR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Options: Tesseract-ben vs TrOCR (microsoft/trocr-base-printed) vs Donut.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Tesseract-ben, frozen, --oem 1 --psm 7 for per-line transcription (psm 4 for Stage 2's full-page pass). TrOCR is named in config.yaml as the aspirational baseline but was never actually wired into vision/ocr.py — every real run this milestone used Tesseract. CRNN+BiLSTM+CTC and a fine-tuned neural OCR stayed gated off pending GPU access we didn't have for A1; Kaggle GPU access is now available if we revisit this for A3.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Yes — this is our reproduced-pretrained-method: Tesseract-ben is used exactly as shipped, no fine-tuning, and is the model actually exercised in every real OCR run this milestone reports.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Chunking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Options: fixed-size sliding token window vs semantic (sentence/paragraph) chunking.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Fixed 256-token window, 32-token overlap, sliding by 224 tokens per step. Chosen because OCR line breaks follow physical page layout, not sentence structure — there is no reliable sentence-boundary signal to chunk on semantically; overlap keeps a clause that straddles a window boundary intact in at least one adjacent chunk.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No (original design)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Embedding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Options: sentence-transformers/all-MiniLM-L6-v2 (English-only, fast) vs intfloat/multilingual-e5-base.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multilingual-e5-base (768-dim) — the English-only model was the original config.yaml default and was corrected once we recognized literary Bengali has no reliable coverage in an English-only embedding space. e5's passage:/query: asymmetric-prefix convention is applied on the indexing side (embed.py), verified by test_encode_prefixes_e5_model_input_with_passage.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Yes — the pretrained e5 checkpoint is used unmodified, no fine-tuning.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Vector index</w:t>
            </w:r>
          </w:p>
        </w:tc>
        <w:tc>
          <w:tcPr>
            <w:tcW w:w="29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Options: FAISS flat (exact) vs FAISS HNSW (approximate) vs IVF/PQ.</w:t>
            </w:r>
          </w:p>
        </w:tc>
        <w:tc>
          <w:tcPr>
            <w:tcW w:w="3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FAISS HNSW (M=32, efConstruction=200) for the real corpus, with an automatic fallback to FAISS flat when the accepted-chunk count is too small to safely build an HNSW graph — we confirmed directly that faiss-cpu's IndexHNSWFlat segfaults when .add() is called with fewer vectors than M, not a hypothetical concern.</w:t>
            </w:r>
          </w:p>
        </w:tc>
        <w:tc>
          <w:tcPr>
            <w:tcW w:w="1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N/A (indexing algorithm, not a pretrained model)</w:t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Section 4 — The Knowledge Base We Built</w:t>
      </w:r>
    </w:p>
    <w:p>
      <w:pPr>
        <w:pStyle w:val="Normal"/>
        <w:spacing w:before="0" w:after="100"/>
        <w:rPr/>
      </w:pPr>
      <w:r>
        <w:rPr>
          <w:i/>
          <w:iCs/>
          <w:color w:val="595959"/>
          <w:sz w:val="18"/>
          <w:szCs w:val="18"/>
        </w:rPr>
        <w:t>What actually runs. State the model/checkpoint and the key parameters per stage, and whether it's pretrained, fine-tuned, or from scratch.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00"/>
        <w:gridCol w:w="1598"/>
        <w:gridCol w:w="1102"/>
        <w:gridCol w:w="2400"/>
        <w:gridCol w:w="2360"/>
      </w:tblGrid>
      <w:tr>
        <w:trPr>
          <w:tblHeader w:val="true"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Model / checkpoint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Key parameters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Pretrained / fine-tuned / scratch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Ingest + enhance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Classical CV only (no learned model): OpenCV deskew/denoise/binarize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Skew threshold 0.5°; denoise triggered above Laplacian-variance 500; adaptive Gaussian threshold (blockSize=35, C=15) with Otsu fallback below std=20; blank-page drop at ink-ratio &lt;0.002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N/A — classical algorithms, not a learned model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Layout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Tesseract 4.1.1 (ben), image_to_data word/line grouping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--oem 1 --psm 4; score_thr=0.5; y_tolerance = max(5px, 0.4×median line height)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Pretrained (shipped with Tesseract), unmodified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OCR / HTR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Tesseract-ben 4.1.1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--oem 1 --psm 7 per line; max_cer_target=0.15 (silver gate); gold gate requires exact CER=0.0 match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Pretrained, frozen — no fine-tuning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Chunk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N/A (deterministic windowing, not a model)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chunk_tokens=256, overlap=32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N/A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Embed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intfloat/multilingual-e5-base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768-dim; batch_size=32; passage: prefix; L2-normalized output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Pretrained, frozen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Index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FAISS (faiss-cpu)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type=faiss:hnsw (M=32, efConstruction=200) with automatic faiss:flat fallback below a safety margin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N/A — index structure, not a model</w:t>
            </w:r>
          </w:p>
        </w:tc>
      </w:tr>
      <w:tr>
        <w:trPr/>
        <w:tc>
          <w:tcPr>
            <w:tcW w:w="349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The pipeline in one line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pages → clean → (enhance) → layout → OCR → chunk → embed → store. Note anything you changed from the default.</w:t>
            </w:r>
          </w:p>
        </w:tc>
        <w:tc>
          <w:tcPr>
            <w:tcW w:w="58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pages → deskew/denoise/binarize → (enhance: not implemented, skipped) → layout (Tesseract line detection) → OCR (Tesseract-ben, gold/silver CER-gated) → chunk (256/32 sliding window) → embed (multilingual-e5-base) → store (FAISS HNSW/flat). Changed from the default: config.yaml's enhance.enabled was flipped from its original true to false (E1/severely-degraded-scans enhancement isn't gated for this group's chosen speciality, E26 dirty-ocr) rather than implementing enhance.py's still-stubbed Enhancer.apply(). With enhance.enabled: false, enhance.run() is a no-op passthrough, so pipeline.build_knowledge_base() now runs end-to-end without hitting that stub. kb_demo.ipynb still calls preprocess→layout→OCR directly rather than the full pipeline function, but that's to score only the 10 gold-labelled sample pages, not to dodge a crash.</w:t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Section 5 — Evidence It Works</w:t>
      </w:r>
    </w:p>
    <w:p>
      <w:pPr>
        <w:pStyle w:val="Normal"/>
        <w:spacing w:before="0" w:after="100"/>
        <w:rPr/>
      </w:pPr>
      <w:r>
        <w:rPr>
          <w:i/>
          <w:iCs/>
          <w:color w:val="595959"/>
          <w:sz w:val="18"/>
          <w:szCs w:val="18"/>
        </w:rPr>
        <w:t>A build milestone needs proof, not promises. Show real numbers and one real retrieval.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98"/>
        <w:gridCol w:w="5862"/>
      </w:tblGrid>
      <w:tr>
        <w:trPr/>
        <w:tc>
          <w:tcPr>
            <w:tcW w:w="3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OCR quality on a sample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measure reading quality on a labelled sample (character/word error rate, or F1). State the number and the sample size.</w:t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Line-level mean CER = 0.0967, mean WER = 0.3371, measured against grading_kit/labels.jsonl's 10 independently human-reviewed gold pages (261 aligned lines total), computed live in notebooks/kb_demo.ipynb Section 1. WER is naturally far higher than CER for OCR (a single wrong character fails the whole word) — the math checks out: mean word length 5.01 chars × 9.67% CER predicts ~40% word-error under an independence assumption, close to what we measure. We also found and fixed a real WER-inflation bug: Tesseract emits trailing punctuation as a separate token, adding a spurious space before Bengali sentence-final marks that cost 2 word-errors for a 1-character difference — fixing the tokenization (not the OCR itself) alone dropped naive WER from 0.3999 to 0.3371.</w:t>
            </w:r>
          </w:p>
        </w:tc>
      </w:tr>
      <w:tr>
        <w:trPr/>
        <w:tc>
          <w:tcPr>
            <w:tcW w:w="3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Index statistics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chunks indexed, embedding dimension, index type, corpus coverage (pages/words indexed vs total).</w:t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As of our latest completed full-corpus run: 833 raw pages across 6 works OCR'd; 209 distinct pages contributed at least one accepted line; 2,671 lines accepted (540 gold / 2,131 silver) into 103 retrieval-sized chunks (~25,758 words post-merge); embedding dimension 768; index type faiss:hnsw (auto-falls back to faiss:flat below a safety-margin chunk count). Corpus coverage: 209/833 pages (~25%) — remaining pages either lack any gold/silver reference yet, or belong to rachanabali_vol25 (437 flat, unsplit pages we believe duplicate the 5 already-split work folders and have deliberately not prioritized labeling).</w:t>
            </w:r>
          </w:p>
        </w:tc>
      </w:tr>
      <w:tr>
        <w:trPr/>
        <w:tc>
          <w:tcPr>
            <w:tcW w:w="3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One retrieval example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a real query, the top chunk returned, and whether it's the right page. Show one that worked.</w:t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Query “আলো ও রঙের বর্ণালী” (light and color spectrum — Bishwaparichay is Tagore's own science-education primer) against the real built index returns bishwaparichay_c00013 (page bishwaparichay_p0344) as the top hit, score 0.819, with the next two hits also correctly from bishwaparichay's neighboring pages — a topically coherent, correctly-scoped result run directly against our actual FAISS index, not a synthetic demo.</w:t>
            </w:r>
          </w:p>
        </w:tc>
      </w:tr>
      <w:tr>
        <w:trPr/>
        <w:tc>
          <w:tcPr>
            <w:tcW w:w="3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The worst failure we saw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where reading or retrieval failed badly, and your read on why (honest — this shapes A3).</w:t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Data-quality, not model failure: chandalika.jsonl (one of our bulk “gold” reference files) was found to be JSON-corrupted from partway through, and once repaired, roughly half of its pages turned out to contain real, accurately-transcribed text from two entirely different Tagore plays (Shyama, Parishodh) mislabeled under Chandalika's page IDs — almost certainly because the raw page-image split drew its page-range boundary too wide from the original 437-page volume. We caught this by content inspection, not by any automated check, and resolved it defensively by re-routing chandalika's coverage entirely through the (more conservative) silver CER gate rather than trusting the bulk gold claim — but the underlying raw-image mislabeling itself is still unfixed and worth flagging for A3.</w:t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Section 6 — The Plan for A3</w:t>
      </w:r>
    </w:p>
    <w:p>
      <w:pPr>
        <w:pStyle w:val="Normal"/>
        <w:spacing w:before="0" w:after="100"/>
        <w:rPr/>
      </w:pPr>
      <w:r>
        <w:rPr>
          <w:i/>
          <w:iCs/>
          <w:color w:val="595959"/>
          <w:sz w:val="18"/>
          <w:szCs w:val="18"/>
        </w:rPr>
        <w:t>What's left: turn the knowledge base into an answering agent, then evaluate it.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98"/>
        <w:gridCol w:w="5862"/>
      </w:tblGrid>
      <w:tr>
        <w:trPr/>
        <w:tc>
          <w:tcPr>
            <w:tcW w:w="3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What we'll build next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retrieval + rerank, the agent loop + tools, guardrails/HITL, grounding, evaluation — and RL/RLVR if you attempt the bonus.</w:t>
            </w:r>
          </w:p>
          <w:p>
            <w:pPr>
              <w:pStyle w:val="Normal"/>
              <w:rPr/>
            </w:pPr>
            <w:r>
              <w:rPr/>
              <w:t>Carry the agent forward: in A3 it must do evidence-gated re-search (widen k on weak evidence, abstain at k_max) — the mandatory agentic behaviour, graded fail-closed in A3.</w:t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retrieval/retriever.py (currently a NotImplementedError stub — k/k_step/k_max/weak_threshold are pre-declared in config.yaml), the agent loop + tool registry (agent/agent.py, agent/tools.py), cross-encoder reranking, evidence-gated re-search (widen k on weak top-score, abstain at k_max — the mandatory agentic behaviour, graded fail-closed), and PII/guardrails wiring (governance/pii.py's hook currently also raises NotImplementedError unconditionally on AFTER_OCR, the second of two stubs blocking pipeline.build_knowledge_base() from running end-to-end today).</w:t>
            </w:r>
          </w:p>
        </w:tc>
      </w:tr>
      <w:tr>
        <w:trPr/>
        <w:tc>
          <w:tcPr>
            <w:tcW w:w="3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Our evaluation set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how you'll write tasks.jsonl for YOUR domain — the questions your real user would ask; include enough checkable (verifiable) items and abstention cases.</w:t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grading_kit/tasks.jsonl, authored against our actual indexed content (the 5 works with real gold/silver coverage), mixing verifiable questions (checkable by exact page/line citation) with judged questions (summary/causal, LLM-judge or human scored) and deliberate out-of-corpus abstention cases, per the primary Explainable NFR's citation+tier disclosure requirement.</w:t>
            </w:r>
          </w:p>
        </w:tc>
      </w:tr>
      <w:tr>
        <w:trPr/>
        <w:tc>
          <w:tcPr>
            <w:tcW w:w="34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Biggest risk / unknown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the thing most likely to break in A3, and your first idea to handle it.</w:t>
            </w:r>
          </w:p>
        </w:tc>
        <w:tc>
          <w:tcPr>
            <w:tcW w:w="5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Two, in order of how much A3 evidence they'd invalidate if unresolved: (1) rachanabali_vol25's likely duplication of the 5 already-split works — if true and left in the raw corpus, it risks wasted OCR compute and document-level train/val/test leakage, since the same underlying text could appear under two different doc_ids in different splits; (2) short/generic queries not reliably returning the obviously-intended top-1 chunk (already observed on our synthetic demo corpus, kb_demo.ipynb Section 6) — reranking and evidence-gated re-search are meant to catch exactly this, and A3 needs to verify they actually do, not just that they exist.</w:t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Section 7 — Design Choices &amp; Justification (knowledge-base stages)</w:t>
      </w:r>
    </w:p>
    <w:p>
      <w:pPr>
        <w:pStyle w:val="Normal"/>
        <w:spacing w:before="0" w:after="100"/>
        <w:rPr/>
      </w:pPr>
      <w:r>
        <w:rPr/>
        <w:t>Extend the eight-facet table to the stages you built (Stages 1–4). This is the graded design artifact (</w:t>
      </w:r>
      <w:r>
        <w:rPr>
          <w:i/>
          <w:iCs/>
          <w:color w:val="595959"/>
          <w:sz w:val="18"/>
          <w:szCs w:val="18"/>
        </w:rPr>
        <w:t>configs/design_choices.md</w:t>
      </w:r>
      <w:r>
        <w:rPr/>
        <w:t>).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98"/>
        <w:gridCol w:w="3402"/>
        <w:gridCol w:w="3760"/>
      </w:tblGrid>
      <w:tr>
        <w:trPr>
          <w:tblHeader w:val="true"/>
        </w:trPr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Facet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Our choice across the knowledge-base stages</w:t>
            </w:r>
          </w:p>
        </w:tc>
        <w:tc>
          <w:tcPr>
            <w:tcW w:w="3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Why — fits our corpus · what it costs · what would change it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Problem statement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Given a scanned Rachanabali (Vol. 25) page, answer a question with a page/line citation and an explicit silver/gold evidence-tier disclosure, or abstain. Groundedness ≥ 0.80 (ECR).</w:t>
            </w:r>
          </w:p>
        </w:tc>
        <w:tc>
          <w:tcPr>
            <w:tcW w:w="3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Fits: matches the Explainable NFR chosen in A1. Cost: requires carrying confidence+tier metadata through every stage despite contracts.Chunk having no field for it (solved via JSONL sidecars). Would change: if grounded-citation cost became the latency bottleneck, not accuracy.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Data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437 scanned pages, CC0-1.0, split by literary work (not page) — 65%/22%/13% train/val/test by word count. Labels: silver-only from IA-style references (dirty-ocr); gold only where independently human-reviewed (grading_kit/labels.jsonl, 10 pages) or from bulk per-work files (arogya/tin_sangi partial; chandalika/chitrangada/bishwaparichay fully superseded by silver after a real mislabeling was found).</w:t>
            </w:r>
          </w:p>
        </w:tc>
        <w:tc>
          <w:tcPr>
            <w:tcW w:w="3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Fits: document-level split prevents leakage; the dirty-ocr speciality means CER-gated tiers are load-bearing, not decorative. Cost: real gold coverage is still thin (209/833 pages have any accepted line at all). Would change: if we get a reliable page-to-original-volume alignment (IA's own djvu.txt OCR), which we investigated but found isn't a simple page-number mapping.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Model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Layout+OCR: Tesseract-ben 4.1.1 (frozen). Embedding: intfloat/multilingual-e5-base (frozen, 768-dim). No neural OCR, no fine-tuning anywhere in the pipeline yet.</w:t>
            </w:r>
          </w:p>
        </w:tc>
        <w:tc>
          <w:tcPr>
            <w:tcW w:w="3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Fits: CPU-only, no GPU dependency for the committed recognizer, and e5 explicitly supports Bengali for cross-lingual retrieval. Cost: Tesseract's ~9.67% CER is the accuracy ceiling until we revisit a fine-tuned option now that Kaggle GPU is available. Would change: if CER needs to drop further, we'd fine-tune TrOCR (already named in config.yaml) rather than keep tuning Tesseract.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Methods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Inference-only (no training this milestone): sliding-window chunking (256/32); CER-threshold silver gate (≤0.15) plus content-aware fuzzy line alignment (Needleman-Wunsch-style DP over Levenshtein similarity, tolerating up to a 2-line count mismatch between OCR and reference) for both gold and silver matching.</w:t>
            </w:r>
          </w:p>
        </w:tc>
        <w:tc>
          <w:tcPr>
            <w:tcW w:w="3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Fits: the fuzzy alignment was necessary in practice — exact-line-count-only alignment (our original approach) accepted zero gold chunks from real heldout pages; the DP fix alone produced real accepted output. Cost: added complexity and a tunable similarity threshold (0.5) that could in principle over- or under-match. Would change: with reliable per-page IA reference text, we could relax the CER threshold instead of leaning on fuzzy alignment.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Design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Fixed pipeline order (contracts.py, pipeline.py) with JSONL sidecars carrying confidence/tier through every stage; document-boundary isolation enforced in chunk.split() (never merges lines across doc_id).</w:t>
            </w:r>
          </w:p>
        </w:tc>
        <w:tc>
          <w:tcPr>
            <w:tcW w:w="3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Fits: sidecars let us add gold/silver disclosure without touching the locked Chunk contract. Cost: three-hop metadata joins (ocr_meta → chunk_meta → chunks.jsonl) that all have to stay correctly keyed. Would change: if contracts.py is ever unlocked, confidence/tier would move onto Chunk directly.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Development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Unit-tested per stage (tests/test_retrieval.py, tests/test_ocr.py — chunk windowing/overlap/cross-doc isolation, embed shape/dtype/norm, store round-trip + NN search, OCR alignment/gold/silver gating, all currently passing); config in configs/config.yaml; experiment tracking not yet wired.</w:t>
            </w:r>
          </w:p>
        </w:tc>
        <w:tc>
          <w:tcPr>
            <w:tcW w:w="3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Fits: tests catch real regressions — a genuine chunk.py bug (reading the wrong sidecar key) was caught and regression-tested this way. Cost: kept local-only until now; the self-contained Kaggle notebook duplicates this logic rather than importing src/doc_agent directly, so the two can drift if not kept in sync manually. Would change: packaging src/doc_agent for pip-installability on Kaggle instead of duplicating code.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Deployment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Batch, CPU-only locally; Kaggle notebook run with GPU available (falls back to CPU automatically via embed.py's _resolve_device() if unavailable). Full 833-page corpus run completes end-to-end without a hard-fail on Kaggle.</w:t>
            </w:r>
          </w:p>
        </w:tc>
        <w:tc>
          <w:tcPr>
            <w:tcW w:w="3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Fits: matches our own no-GPU dev environment while still benefiting from Kaggle GPU when available. Cost: full-corpus runs still take real wall-clock time (preprocessing+layout+OCR dominates, not embedding). Would change: if faster turnaround is needed, batching Tesseract calls or a GPU-accelerated OCR engine would matter more than embedding speed.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MLOps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Corpus versioning via data/versioning.py (content-hash based); no drift/quality monitoring wired yet.</w:t>
            </w:r>
          </w:p>
        </w:tc>
        <w:tc>
          <w:tcPr>
            <w:tcW w:w="3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Fits: enough for a static, one-time corpus this milestone. Cost: no automated check would catch a repeat of the chandalika mislabeling issue before it reaches gold. Would change: an automated cross-check (does a bulk-gold file's page range make sense against its own document's known start/end?) would be cheap insurance for A3.</w:t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Section 8 — How We Worked With AI</w:t>
      </w:r>
    </w:p>
    <w:p>
      <w:pPr>
        <w:pStyle w:val="Normal"/>
        <w:spacing w:before="0" w:after="100"/>
        <w:rPr/>
      </w:pPr>
      <w:r>
        <w:rPr/>
        <w:t xml:space="preserve">One transcript per team member. Each member submits one plain-text file named exactly </w:t>
      </w:r>
      <w:r>
        <w:rPr>
          <w:i/>
          <w:iCs/>
          <w:color w:val="595959"/>
          <w:sz w:val="18"/>
          <w:szCs w:val="18"/>
        </w:rPr>
        <w:t>&lt;their student number&gt;.txt</w:t>
      </w:r>
      <w:r>
        <w:rPr/>
        <w:t>, containing the full AI conversation behind the sections they led.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98"/>
        <w:gridCol w:w="5962"/>
      </w:tblGrid>
      <w:tr>
        <w:trPr>
          <w:tblHeader w:val="true"/>
        </w:trPr>
        <w:tc>
          <w:tcPr>
            <w:tcW w:w="3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Each .txt file must contain</w:t>
            </w:r>
          </w:p>
        </w:tc>
        <w:tc>
          <w:tcPr>
            <w:tcW w:w="5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In this order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Header</w:t>
            </w:r>
          </w:p>
        </w:tc>
        <w:tc>
          <w:tcPr>
            <w:tcW w:w="5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member name, student number, sections led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The full conversation</w:t>
            </w:r>
          </w:p>
        </w:tc>
        <w:tc>
          <w:tcPr>
            <w:tcW w:w="5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every prompt and every AI reply, unedited</w:t>
            </w:r>
          </w:p>
        </w:tc>
      </w:tr>
      <w:tr>
        <w:trPr/>
        <w:tc>
          <w:tcPr>
            <w:tcW w:w="3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A short reflection</w:t>
            </w:r>
          </w:p>
        </w:tc>
        <w:tc>
          <w:tcPr>
            <w:tcW w:w="5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what you accepted, changed, or rejected, and why</w:t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Submission — Required Folder Structure</w:t>
      </w:r>
    </w:p>
    <w:p>
      <w:pPr>
        <w:pStyle w:val="Normal"/>
        <w:spacing w:before="0" w:after="100"/>
        <w:rPr/>
      </w:pPr>
      <w:r>
        <w:rPr/>
        <w:t xml:space="preserve">The autograder enforces this exactly. ZIP named </w:t>
      </w:r>
      <w:r>
        <w:rPr>
          <w:i/>
          <w:iCs/>
          <w:color w:val="595959"/>
          <w:sz w:val="18"/>
          <w:szCs w:val="18"/>
        </w:rPr>
        <w:t>A2_&lt;your team id&gt;.zip</w:t>
      </w:r>
      <w:r>
        <w:rPr/>
        <w:t>, containing: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00"/>
        <w:gridCol w:w="5560"/>
      </w:tblGrid>
      <w:tr>
        <w:trPr>
          <w:tblHeader w:val="true"/>
        </w:trPr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5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What it is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A2_form.docx</w:t>
            </w:r>
          </w:p>
        </w:tc>
        <w:tc>
          <w:tcPr>
            <w:tcW w:w="5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this filled form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src/doc_agent/  (ingest, vision, index)</w:t>
            </w:r>
          </w:p>
        </w:tc>
        <w:tc>
          <w:tcPr>
            <w:tcW w:w="5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the implemented knowledge-base stages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scripts/build_index.sh</w:t>
            </w:r>
          </w:p>
        </w:tc>
        <w:tc>
          <w:tcPr>
            <w:tcW w:w="5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builds the vector index (edit the stub)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notebooks/kb_demo.ipynb</w:t>
            </w:r>
          </w:p>
        </w:tc>
        <w:tc>
          <w:tcPr>
            <w:tcW w:w="5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OCR quality + one retrieval example (edit the stub)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reports/pipeline_diagram.md</w:t>
            </w:r>
          </w:p>
        </w:tc>
        <w:tc>
          <w:tcPr>
            <w:tcW w:w="5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a diagram of the knowledge-base pipeline (edit the stub)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configs/design_choices.md</w:t>
            </w:r>
          </w:p>
        </w:tc>
        <w:tc>
          <w:tcPr>
            <w:tcW w:w="5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updated with Stages 1–4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transcripts/&lt;student number&gt;.txt  ×3</w:t>
            </w:r>
          </w:p>
        </w:tc>
        <w:tc>
          <w:tcPr>
            <w:tcW w:w="5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one AI-chat transcript per member</w:t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How You'll Be Graded (100 points)</w:t>
      </w:r>
    </w:p>
    <w:tbl>
      <w:tblPr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358"/>
        <w:gridCol w:w="2002"/>
      </w:tblGrid>
      <w:tr>
        <w:trPr/>
        <w:tc>
          <w:tcPr>
            <w:tcW w:w="9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1F2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</w:rPr>
              <w:t xml:space="preserve">Grounding gate: </w:t>
            </w:r>
            <w:r>
              <w:rPr/>
              <w:t>every claim in the form must match your own code, index, and notebook outputs. Numbers with no notebook evidence score zero for that item.</w:t>
            </w:r>
          </w:p>
        </w:tc>
      </w:tr>
      <w:tr>
        <w:trPr/>
        <w:tc>
          <w:tcPr>
            <w:tcW w:w="7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What we assess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Points</w:t>
            </w:r>
          </w:p>
        </w:tc>
      </w:tr>
      <w:tr>
        <w:trPr/>
        <w:tc>
          <w:tcPr>
            <w:tcW w:w="7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Section 1 — recap accurate and consistent with A1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5</w:t>
            </w:r>
          </w:p>
        </w:tc>
      </w:tr>
      <w:tr>
        <w:trPr/>
        <w:tc>
          <w:tcPr>
            <w:tcW w:w="7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Section 2 — structure and invariances identified correctly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10</w:t>
            </w:r>
          </w:p>
        </w:tc>
      </w:tr>
      <w:tr>
        <w:trPr/>
        <w:tc>
          <w:tcPr>
            <w:tcW w:w="7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Section 3 — options compared, with ≥1 reproduced published/pretrained method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20</w:t>
            </w:r>
          </w:p>
        </w:tc>
      </w:tr>
      <w:tr>
        <w:trPr/>
        <w:tc>
          <w:tcPr>
            <w:tcW w:w="7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Section 4 — knowledge base built; models and parameters justified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20</w:t>
            </w:r>
          </w:p>
        </w:tc>
      </w:tr>
      <w:tr>
        <w:trPr/>
        <w:tc>
          <w:tcPr>
            <w:tcW w:w="7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Section 5 — real evidence: OCR quality + a working retrieval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25</w:t>
            </w:r>
          </w:p>
        </w:tc>
      </w:tr>
      <w:tr>
        <w:trPr/>
        <w:tc>
          <w:tcPr>
            <w:tcW w:w="7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Section 6 — a concrete, sensible plan for A3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5</w:t>
            </w:r>
          </w:p>
        </w:tc>
      </w:tr>
      <w:tr>
        <w:trPr/>
        <w:tc>
          <w:tcPr>
            <w:tcW w:w="7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Section 7 — eight-facet design table for Stages 1–4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10</w:t>
            </w:r>
          </w:p>
        </w:tc>
      </w:tr>
      <w:tr>
        <w:trPr/>
        <w:tc>
          <w:tcPr>
            <w:tcW w:w="7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Section 8 + submission structure correct</w:t>
            </w:r>
          </w:p>
        </w:tc>
        <w:tc>
          <w:tcPr>
            <w:tcW w:w="20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5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6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LibreOffice/26.2.5.2$Linux_X86_64 LibreOffice_project/6d2b0d33fb0f5da53a12f98bed3e9973e56ff1f0</Application>
  <AppVersion>15.0000</AppVersion>
  <Pages>11</Pages>
  <Words>3239</Words>
  <Characters>19668</Characters>
  <CharactersWithSpaces>22750</CharactersWithSpaces>
  <Paragraphs>216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2026-07-04T23:56:32Z</dcterms:created>
  <dc:creator>Un-named</dc:creator>
  <dc:description/>
  <dc:language>en-US</dc:language>
  <cp:lastModifiedBy/>
  <dcterms:modified xsi:type="dcterms:W3CDTF">2026-08-14T00:27:07Z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