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rPr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Strict compliance: </w:t>
            </w:r>
            <w:r>
              <w:rPr/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97"/>
        <w:gridCol w:w="5863"/>
      </w:tblGrid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Project name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20"/>
              <w:rPr>
                <w:sz w:val="21"/>
                <w:szCs w:val="21"/>
              </w:rPr>
            </w:pPr>
            <w:r>
              <w:rPr>
                <w:b/>
                <w:bCs/>
                <w:color w:val="111111"/>
                <w:sz w:val="21"/>
                <w:szCs w:val="21"/>
              </w:rPr>
              <w:t>Decoding the Archives</w:t>
            </w:r>
          </w:p>
        </w:tc>
      </w:tr>
    </w:tbl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Team members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97"/>
        <w:gridCol w:w="3000"/>
        <w:gridCol w:w="2363"/>
        <w:gridCol w:w="2300"/>
      </w:tblGrid>
      <w:tr>
        <w:trPr>
          <w:tblHeader w:val="true"/>
        </w:trPr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1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Nabiha Tahseen</w:t>
            </w:r>
          </w:p>
        </w:tc>
        <w:tc>
          <w:tcPr>
            <w:tcW w:w="2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2105031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[confirm which sections Nabiha led]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2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Atika Tabassum Suchi</w:t>
            </w:r>
          </w:p>
        </w:tc>
        <w:tc>
          <w:tcPr>
            <w:tcW w:w="2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2105053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1,2,3(partial),4(partial)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3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Fariha Ifrat</w:t>
            </w:r>
          </w:p>
        </w:tc>
        <w:tc>
          <w:tcPr>
            <w:tcW w:w="2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2105059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1,4(partial),7(partial)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this assignment is: </w:t>
            </w:r>
            <w:r>
              <w:rPr/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to hand in: </w:t>
            </w:r>
            <w:r>
              <w:rPr/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1 — Recap from Assignment 1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97"/>
        <w:gridCol w:w="5863"/>
      </w:tblGrid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three choices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Domain: Bengali-medium literature education (HSC/Honours Bengali-lit students &amp; tutors, Tagore set texts).</w:t>
            </w:r>
          </w:p>
          <w:p>
            <w:pPr>
              <w:pStyle w:val="Normal"/>
              <w:rPr/>
            </w:pPr>
            <w:r>
              <w:rPr/>
              <w:t>Data speciality: dirty-ocr — IA's own OCR is the only text layer this corpus ships with; no independent gold transcription came with it.</w:t>
            </w:r>
          </w:p>
          <w:p>
            <w:pPr>
              <w:pStyle w:val="Normal"/>
              <w:rPr/>
            </w:pPr>
            <w:r>
              <w:rPr/>
              <w:t>Primary NFR: Explainable — target ECR ≥ 0.80 (page_id + line_id + verbatim span + tool trace + silver/gold evidence-tier disclosure, all four required per answer).</w:t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Success metric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Explanation-Completeness Rate (ECR) ≥ 0.80 — unchanged from A1.</w:t>
            </w:r>
          </w:p>
        </w:tc>
      </w:tr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corpus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Source: Rabindra Rachanabali (</w:t>
            </w:r>
            <w:r>
              <w:rPr/>
              <w:t>রবীন্দ্র রচনাবলী</w:t>
            </w:r>
            <w:r>
              <w:rPr/>
              <w:t>), Vol. 25, Internet Archive item RABINDRARACHANABALI, CC0-1.0. 437 scanned pages / 87,848 words / ~9MB. Hardest to read: 1950s-era Bengali letterpress printing — dense conjunct consonants (</w:t>
            </w:r>
            <w:r>
              <w:rPr/>
              <w:t>যুক্তাক্ষর</w:t>
            </w:r>
            <w:r>
              <w:rPr/>
              <w:t>) and dependent vowel signs (matras) cause character-segmentation errors in conventional OCR, compounded by aged paper and uneven illumination.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2 — The Structure We Exploit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97"/>
        <w:gridCol w:w="5863"/>
      </w:tblGrid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page image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Predominantly single-column text, with variation coming from poetry indentation and section headings, not multi-column layout (confirmed in A1's corpus analysis) — this is why we chose Tesseract's own line-grouping heuristic over a trained layout detector (Detectron2) for Stage 2: a dedicated detector would solve a structural problem (columns, tables, figures) this corpus doesn't actually have.</w:t>
            </w:r>
          </w:p>
        </w:tc>
      </w:tr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text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Reading order is strictly top-to-bottom, left-to-right within a detected line band (vision/layout.py's banding sort), and Bengali conjuncts/matras span multiple Unicode codepoints per grapheme — this drives both the OCR crop padding (4px, protects ascenders/descenders at box edges) and the embedding choice (multilingual-e5-base, not an English-only encoder, since Bengali semantic similarity has no reliable proxy in English embedding space).</w:t>
            </w:r>
          </w:p>
        </w:tc>
      </w:tr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should NOT change the answer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Page position/orientation (deskew corrects skew &gt;0.5°), scan noise (conditional denoising via Laplacian-variance noise detection), and font/ink variation across the 6 literary works in the corpus — the OCR/index pipeline is applied uniformly regardless of which work a page belongs to.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3 — Components &amp; Options We Considered</w:t>
      </w:r>
    </w:p>
    <w:p>
      <w:pPr>
        <w:pStyle w:val="Normal"/>
        <w:spacing w:before="0" w:after="100"/>
        <w:rPr/>
      </w:pPr>
      <w:r>
        <w:rPr/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rPr/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97"/>
        <w:gridCol w:w="2903"/>
        <w:gridCol w:w="3197"/>
        <w:gridCol w:w="1563"/>
      </w:tblGrid>
      <w:tr>
        <w:trPr>
          <w:tblHeader w:val="true"/>
        </w:trPr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Enhancement (bonus)</w:t>
            </w:r>
          </w:p>
        </w:tc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classical denoise vs a VAE/diffusion enhancer vs none.</w:t>
            </w:r>
          </w:p>
        </w:tc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Classical preprocessing only (deskew/denoise/binarize); the VAE/diffusion Enhancer class exists in ingest/enhance.py but its train()/apply() are unimplemented stubs — not attempted this milestone, flagged as a bonus we did not pursue given time constraints.</w:t>
            </w:r>
          </w:p>
        </w:tc>
        <w:tc>
          <w:tcPr>
            <w:tcW w:w="15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 (not implemented)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 detection</w:t>
            </w:r>
          </w:p>
        </w:tc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heuristic line-grouping (Tesseract image_to_data) vs a trained detection model (Detectron2).</w:t>
            </w:r>
          </w:p>
        </w:tc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Tesseract's own block/paragraph/line word-box grouping, banded into reading order by center-y clustering. A trained detector was scoped in config.yaml (detectron2:layout) but never wired in — A1's structure analysis found this corpus has no multi-column/table/figure layout complexity that would justify one.</w:t>
            </w:r>
          </w:p>
        </w:tc>
        <w:tc>
          <w:tcPr>
            <w:tcW w:w="15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Yes — Tesseract's layout analysis is itself a pretrained/shipped capability we reproduce as-is, unmodified.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Tesseract-ben vs TrOCR (microsoft/trocr-base-printed) vs Donut.</w:t>
            </w:r>
          </w:p>
        </w:tc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Tesseract-ben, frozen, --oem 1 --psm 7 for per-line transcription (psm 4 for Stage 2's full-page pass). TrOCR is named in config.yaml as the aspirational baseline but was never actually wired into vision/ocr.py — every real run this milestone used Tesseract. CRNN+BiLSTM+CTC and a fine-tuned neural OCR stayed gated off pending GPU access we didn't have for A1; Kaggle GPU access is now available if we revisit this for A3.</w:t>
            </w:r>
          </w:p>
        </w:tc>
        <w:tc>
          <w:tcPr>
            <w:tcW w:w="15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Yes — this is our reproduced-pretrained-method: Tesseract-ben is used exactly as shipped, no fine-tuning, and is the model actually exercised in every real OCR run this milestone reports.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Chunking</w:t>
            </w:r>
          </w:p>
        </w:tc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fixed-size sliding token window vs semantic (sentence/paragraph) chunking.</w:t>
            </w:r>
          </w:p>
        </w:tc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Fixed 256-token window, 32-token overlap, sliding by 224 tokens per step. Chosen because OCR line breaks follow physical page layout, not sentence structure — there is no reliable sentence-boundary signal to chunk on semantically; overlap keeps a clause that straddles a window boundary intact in at least one adjacent chunk.</w:t>
            </w:r>
          </w:p>
        </w:tc>
        <w:tc>
          <w:tcPr>
            <w:tcW w:w="15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 (original design)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Embedding</w:t>
            </w:r>
          </w:p>
        </w:tc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sentence-transformers/all-MiniLM-L6-v2 (English-only, fast) vs intfloat/multilingual-e5-base.</w:t>
            </w:r>
          </w:p>
        </w:tc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multilingual-e5-base (768-dim) — the English-only model was the original config.yaml default and was corrected once we recognized literary Bengali has no reliable coverage in an English-only embedding space. e5's passage:/query: asymmetric-prefix convention is applied on the indexing side (embed.py), verified by test_encode_prefixes_e5_model_input_with_passage.</w:t>
            </w:r>
          </w:p>
        </w:tc>
        <w:tc>
          <w:tcPr>
            <w:tcW w:w="15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Yes — the pretrained e5 checkpoint is used unmodified, no fine-tuning.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Vector index</w:t>
            </w:r>
          </w:p>
        </w:tc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FAISS flat (exact) vs FAISS HNSW (approximate) vs IVF/PQ.</w:t>
            </w:r>
          </w:p>
        </w:tc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FAISS HNSW (M=32, efConstruction=200) for the real corpus, with an automatic fallback to FAISS flat when the accepted-chunk count is too small to safely build an HNSW graph — we confirmed directly that faiss-cpu's IndexHNSWFlat segfaults when .add() is called with fewer vectors than M, not a hypothetical concern.</w:t>
            </w:r>
          </w:p>
        </w:tc>
        <w:tc>
          <w:tcPr>
            <w:tcW w:w="15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N/A (indexing algorithm, not a pretrained model)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4 — The Knowledge Base We Built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00"/>
        <w:gridCol w:w="1597"/>
        <w:gridCol w:w="1103"/>
        <w:gridCol w:w="2400"/>
        <w:gridCol w:w="2360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Classical CV only (no learned model): OpenCV deskew/denoise/binarize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Skew threshold 0.5°; denoise triggered above Laplacian-variance 500; adaptive Gaussian threshold (blockSize=35, C=15) with Otsu fallback below std=20; blank-page drop at ink-ratio &lt;0.002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N/A — classical algorithms, not a learned model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Tesseract 4.1.1 (ben), image_to_data word/line grouping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--oem 1 --psm 4; score_thr=0.5; y_tolerance = max(5px, 0.4×median line height)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Pretrained (shipped with Tesseract), unmodified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Tesseract-ben 4.1.1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--oem 1 --psm 7 per line; max_cer_target=0.15 (silver gate); gold gate requires exact CER=0.0 match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Pretrained, frozen — no fine-tuning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N/A (deterministic windowing, not a model)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chunk_tokens=256, overlap=32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N/A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intfloat/multilingual-e5-base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768-dim; batch_size=32; passage: prefix; L2-normalized output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Pretrained, frozen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FAISS (faiss-cpu)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type=faiss:hnsw (M=32, efConstruction=200) with automatic faiss:flat fallback below a safety margin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N/A — index structure, not a model</w:t>
            </w:r>
          </w:p>
        </w:tc>
      </w:tr>
      <w:tr>
        <w:trPr/>
        <w:tc>
          <w:tcPr>
            <w:tcW w:w="34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The pipeline in one line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pages → deskew/denoise/binarize → (enhance: not implemented, skipped) → layout (Tesseract line detection) → OCR (Tesseract-ben, gold/silver CER-gated) → chunk (256/32 sliding window) → embed (multilingual-e5-base) → store (FAISS HNSW/flat). Changed from the default: config.yaml's enhance.enabled was flipped from its original true to false (E1/severely-degraded-scans enhancement isn't gated for this group's chosen speciality, E26 dirty-ocr) rather than implementing enhance.py's still-stubbed Enhancer.apply(). With enhance.enabled: false, enhance.run() is a no-op passthrough, so pipeline.build_knowledge_base() now runs end-to-end without hitting that stub. kb_demo.ipynb still calls preprocess→layout→OCR directly rather than the full pipeline function, but that's to score only the 10 gold-labelled sample pages, not to dodge a crash.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5 — Evidence It Works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97"/>
        <w:gridCol w:w="5863"/>
      </w:tblGrid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OCR quality on a sample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Line-level mean CER = 0.0967, mean WER = 0.3371, measured against grading_kit/labels.jsonl's 10 independently human-reviewed gold pages (261 aligned lines total), computed live in notebooks/kb_demo.ipynb Section 1. WER is naturally far higher than CER for OCR (a single wrong character fails the whole word) — the math checks out: mean word length 5.01 chars × 9.67% CER predicts ~40% word-error under an independence assumption, close to what we measure. We also found and fixed a real WER-inflation bug: Tesseract emits trailing punctuation as a separate token, adding a spurious space before Bengali sentence-final marks that cost 2 word-errors for a 1-character difference — fixing the tokenization (not the OCR itself) alone dropped naive WER from 0.3999 to 0.3371.</w:t>
            </w:r>
          </w:p>
        </w:tc>
      </w:tr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Index statistics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As of our latest completed full-corpus run: 833 raw pages across 6 works OCR'd; 209 distinct pages contributed at least one accepted line; 2,671 lines accepted (540 gold / 2,131 silver) into 103 retrieval-sized chunks (~25,758 words post-merge); embedding dimension 768; index type faiss:hnsw (auto-falls back to faiss:flat below a safety-margin chunk count). Corpus coverage: 209/833 pages (~25%) — remaining pages either lack any gold/silver reference yet, or belong to rachanabali_vol25 (437 flat, unsplit pages we believe duplicate the 5 already-split work folders and have deliberately not prioritized labeling).</w:t>
            </w:r>
          </w:p>
        </w:tc>
      </w:tr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One retrieval example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Query “</w:t>
            </w:r>
            <w:r>
              <w:rPr/>
              <w:t xml:space="preserve">আলো ও রঙের বর্ণালী” </w:t>
            </w:r>
            <w:r>
              <w:rPr/>
              <w:t>(light and color spectrum — Bishwaparichay is Tagore's own science-education primer) against the real built index returns bishwaparichay_c00013 (page bishwaparichay_p0344) as the top hit, score 0.819, with the next two hits also correctly from bishwaparichay's neighboring pages — a topically coherent, correctly-scoped result run directly against our actual FAISS index, not a synthetic demo.</w:t>
            </w:r>
          </w:p>
        </w:tc>
      </w:tr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The worst failure we saw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Data-quality, not model failure: chandalika.jsonl (one of our bulk “gold” reference files) was found to be JSON-corrupted from partway through, and once repaired, roughly half of its pages turned out to contain real, accurately-transcribed text from two entirely different Tagore plays (Shyama, Parishodh) mislabeled under Chandalika's page IDs — almost certainly because the raw page-image split drew its page-range boundary too wide from the original 437-page volume. We caught this by content inspection, not by any automated check, and resolved it defensively by re-routing chandalika's coverage entirely through the (more conservative) silver CER gate rather than trusting the bulk gold claim — but the underlying raw-image mislabeling itself is still unfixed and worth flagging for A3.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6 — The Plan for A3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97"/>
        <w:gridCol w:w="5863"/>
      </w:tblGrid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we'll build next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retrieval + rerank, the agent loop + tools, guardrails/HITL, grounding, evaluation — and RL/RLVR if you attempt the bonus.</w:t>
            </w:r>
          </w:p>
          <w:p>
            <w:pPr>
              <w:pStyle w:val="Normal"/>
              <w:rPr/>
            </w:pPr>
            <w:r>
              <w:rPr/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retrieval/retriever.py (currently a NotImplementedError stub — k/k_step/k_max/weak_threshold are pre-declared in config.yaml), the agent loop + tool registry (agent/agent.py, agent/tools.py), cross-encoder reranking, evidence-gated re-search (widen k on weak top-score, abstain at k_max — the mandatory agentic behaviour, graded fail-closed), and PII/guardrails wiring (governance/pii.py's hook currently also raises NotImplementedError unconditionally on AFTER_OCR, the second of two stubs blocking pipeline.build_knowledge_base() from running end-to-end today).</w:t>
            </w:r>
          </w:p>
        </w:tc>
      </w:tr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evaluation set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grading_kit/tasks.jsonl, authored against our actual indexed content (the 5 works with real gold/silver coverage), mixing verifiable questions (checkable by exact page/line citation) with judged questions (summary/causal, LLM-judge or human scored) and deliberate out-of-corpus abstention cases, per the primary Explainable NFR's citation+tier disclosure requirement.</w:t>
            </w:r>
          </w:p>
        </w:tc>
      </w:tr>
      <w:tr>
        <w:trPr/>
        <w:tc>
          <w:tcPr>
            <w:tcW w:w="34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Biggest risk / unknown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Two, in order of how much A3 evidence they'd invalidate if unresolved: (1) rachanabali_vol25's likely duplication of the 5 already-split works — if true and left in the raw corpus, it risks wasted OCR compute and document-level train/val/test leakage, since the same underlying text could appear under two different doc_ids in different splits; (2) short/generic queries not reliably returning the obviously-intended top-1 chunk (already observed on our synthetic demo corpus, kb_demo.ipynb Section 6) — reranking and evidence-gated re-search are meant to catch exactly this, and A3 needs to verify they actually do, not just that they exist.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7 — Design Choices &amp; Justification (knowledge-base stages)</w:t>
      </w:r>
    </w:p>
    <w:p>
      <w:pPr>
        <w:pStyle w:val="Normal"/>
        <w:spacing w:before="0" w:after="100"/>
        <w:rPr/>
      </w:pPr>
      <w:r>
        <w:rPr/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rPr/>
        <w:t>).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97"/>
        <w:gridCol w:w="3403"/>
        <w:gridCol w:w="3760"/>
      </w:tblGrid>
      <w:tr>
        <w:trPr>
          <w:tblHeader w:val="true"/>
        </w:trPr>
        <w:tc>
          <w:tcPr>
            <w:tcW w:w="2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Problem statement</w:t>
            </w:r>
          </w:p>
        </w:tc>
        <w:tc>
          <w:tcPr>
            <w:tcW w:w="3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Given a scanned Rachanabali (Vol. 25) page, answer a question with a page/line citation and an explicit silver/gold evidence-tier disclosure, or abstain. Groundedness ≥ 0.80 (ECR).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matches the Explainable NFR chosen in A1. Cost: requires carrying confidence+tier metadata through every stage despite contracts.Chunk having no field for it (solved via JSONL sidecars). Would change: if grounded-citation cost became the latency bottleneck, not accuracy.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Data</w:t>
            </w:r>
          </w:p>
        </w:tc>
        <w:tc>
          <w:tcPr>
            <w:tcW w:w="3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437 scanned pages, CC0-1.0, split by literary work (not page) — 65%/22%/13% train/val/test by word count. Labels: silver-only from IA-style references (dirty-ocr); gold only where independently human-reviewed (grading_kit/labels.jsonl, 10 pages) or from bulk per-work files (arogya/tin_sangi partial; chandalika/chitrangada/bishwaparichay fully superseded by silver after a real mislabeling was found).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document-level split prevents leakage; the dirty-ocr speciality means CER-gated tiers are load-bearing, not decorative. Cost: real gold coverage is still thin (209/833 pages have any accepted line at all). Would change: if we get a reliable page-to-original-volume alignment (IA's own djvu.txt OCR), which we investigated but found isn't a simple page-number mapping.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Model</w:t>
            </w:r>
          </w:p>
        </w:tc>
        <w:tc>
          <w:tcPr>
            <w:tcW w:w="3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Layout+OCR: Tesseract-ben 4.1.1 (frozen). Embedding: intfloat/multilingual-e5-base (frozen, 768-dim). No neural OCR, no fine-tuning anywhere in the pipeline yet.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CPU-only, no GPU dependency for the committed recognizer, and e5 explicitly supports Bengali for cross-lingual retrieval. Cost: Tesseract's ~9.67% CER is the accuracy ceiling until we revisit a fine-tuned option now that Kaggle GPU is available. Would change: if CER needs to drop further, we'd fine-tune TrOCR (already named in config.yaml) rather than keep tuning Tesseract.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Methods</w:t>
            </w:r>
          </w:p>
        </w:tc>
        <w:tc>
          <w:tcPr>
            <w:tcW w:w="3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Inference-only (no training this milestone): sliding-window chunking (256/32); CER-threshold silver gate (≤0.15) plus content-aware fuzzy line alignment (Needleman-Wunsch-style DP over Levenshtein similarity, tolerating up to a 2-line count mismatch between OCR and reference) for both gold and silver matching.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the fuzzy alignment was necessary in practice — exact-line-count-only alignment (our original approach) accepted zero gold chunks from real heldout pages; the DP fix alone produced real accepted output. Cost: added complexity and a tunable similarity threshold (0.5) that could in principle over- or under-match. Would change: with reliable per-page IA reference text, we could relax the CER threshold instead of leaning on fuzzy alignment.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Design</w:t>
            </w:r>
          </w:p>
        </w:tc>
        <w:tc>
          <w:tcPr>
            <w:tcW w:w="3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Fixed pipeline order (contracts.py, pipeline.py) with JSONL sidecars carrying confidence/tier through every stage; document-boundary isolation enforced in chunk.split() (never merges lines across doc_id).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sidecars let us add gold/silver disclosure without touching the locked Chunk contract. Cost: three-hop metadata joins (ocr_meta → chunk_meta → chunks.jsonl) that all have to stay correctly keyed. Would change: if contracts.py is ever unlocked, confidence/tier would move onto Chunk directly.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Development</w:t>
            </w:r>
          </w:p>
        </w:tc>
        <w:tc>
          <w:tcPr>
            <w:tcW w:w="3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Unit-tested per stage (tests/test_retrieval.py, tests/test_ocr.py — chunk windowing/overlap/cross-doc isolation, embed shape/dtype/norm, store round-trip + NN search, OCR alignment/gold/silver gating, all currently passing); config in configs/config.yaml; experiment tracking not yet wired.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tests catch real regressions — a genuine chunk.py bug (reading the wrong sidecar key) was caught and regression-tested this way. Cost: kept local-only until now; the self-contained Kaggle notebook duplicates this logic rather than importing src/doc_agent directly, so the two can drift if not kept in sync manually. Would change: packaging src/doc_agent for pip-installability on Kaggle instead of duplicating code.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Deployment</w:t>
            </w:r>
          </w:p>
        </w:tc>
        <w:tc>
          <w:tcPr>
            <w:tcW w:w="3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Batch, CPU-only locally; Kaggle notebook run with GPU available (falls back to CPU automatically via embed.py's _resolve_device() if unavailable). Full 833-page corpus run completes end-to-end without a hard-fail on Kaggle.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matches our own no-GPU dev environment while still benefiting from Kaggle GPU when available. Cost: full-corpus runs still take real wall-clock time (preprocessing+layout+OCR dominates, not embedding). Would change: if faster turnaround is needed, batching Tesseract calls or a GPU-accelerated OCR engine would matter more than embedding speed.</w:t>
            </w:r>
          </w:p>
        </w:tc>
      </w:tr>
      <w:tr>
        <w:trPr/>
        <w:tc>
          <w:tcPr>
            <w:tcW w:w="2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MLOps</w:t>
            </w:r>
          </w:p>
        </w:tc>
        <w:tc>
          <w:tcPr>
            <w:tcW w:w="3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Corpus versioning via data/versioning.py (content-hash based); no drift/quality monitoring wired yet.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enough for a static, one-time corpus this milestone. Cost: no automated check would catch a repeat of the chandalika mislabeling issue before it reaches gold. Would change: an automated cross-check (does a bulk-gold file's page range make sense against its own document's known start/end?) would be cheap insurance for A3.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8 — How We Worked With AI</w:t>
      </w:r>
    </w:p>
    <w:p>
      <w:pPr>
        <w:pStyle w:val="Normal"/>
        <w:spacing w:before="0" w:after="100"/>
        <w:rPr/>
      </w:pPr>
      <w:r>
        <w:rPr/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rPr/>
        <w:t>, containing the full AI conversation behind the sections they led.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397"/>
        <w:gridCol w:w="5963"/>
      </w:tblGrid>
      <w:tr>
        <w:trPr>
          <w:tblHeader w:val="true"/>
        </w:trPr>
        <w:tc>
          <w:tcPr>
            <w:tcW w:w="3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>
        <w:trPr/>
        <w:tc>
          <w:tcPr>
            <w:tcW w:w="3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Header</w:t>
            </w:r>
          </w:p>
        </w:tc>
        <w:tc>
          <w:tcPr>
            <w:tcW w:w="59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>
        <w:trPr/>
        <w:tc>
          <w:tcPr>
            <w:tcW w:w="3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full conversation</w:t>
            </w:r>
          </w:p>
        </w:tc>
        <w:tc>
          <w:tcPr>
            <w:tcW w:w="59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>
        <w:trPr/>
        <w:tc>
          <w:tcPr>
            <w:tcW w:w="3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short reflection</w:t>
            </w:r>
          </w:p>
        </w:tc>
        <w:tc>
          <w:tcPr>
            <w:tcW w:w="59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Submission — Required Folder Structure</w:t>
      </w:r>
    </w:p>
    <w:p>
      <w:pPr>
        <w:pStyle w:val="Normal"/>
        <w:spacing w:before="0" w:after="100"/>
        <w:rPr/>
      </w:pPr>
      <w:r>
        <w:rPr/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rPr/>
        <w:t>, containing: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00"/>
        <w:gridCol w:w="5560"/>
      </w:tblGrid>
      <w:tr>
        <w:trPr>
          <w:tblHeader w:val="true"/>
        </w:trPr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A2_form.docx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this filled form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src/doc_agent/  (ingest, vision, index)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implemented knowledge-base stages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scripts/build_index.sh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builds the vector index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notebooks/kb_demo.ipynb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quality + one retrieval example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reports/pipeline_diagram.md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diagram of the knowledge-base pipeline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configs/design_choices.md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updated with Stages 1–4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transcripts/&lt;student number&gt;.txt  ×3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one AI-chat transcript per member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How You'll Be Graded (100 points)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357"/>
        <w:gridCol w:w="2003"/>
      </w:tblGrid>
      <w:tr>
        <w:trPr/>
        <w:tc>
          <w:tcPr>
            <w:tcW w:w="93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Grounding gate: </w:t>
            </w:r>
            <w:r>
              <w:rPr/>
              <w:t>every claim in the form must match your own code, index, and notebook outputs. Numbers with no notebook evidence score zero for that item.</w:t>
            </w:r>
          </w:p>
        </w:tc>
      </w:tr>
      <w:tr>
        <w:trPr/>
        <w:tc>
          <w:tcPr>
            <w:tcW w:w="7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>
        <w:trPr/>
        <w:tc>
          <w:tcPr>
            <w:tcW w:w="7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1 — recap accurate and consistent with A1</w:t>
            </w:r>
          </w:p>
        </w:tc>
        <w:tc>
          <w:tcPr>
            <w:tcW w:w="2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2 — structure and invariances identified correctly</w:t>
            </w:r>
          </w:p>
        </w:tc>
        <w:tc>
          <w:tcPr>
            <w:tcW w:w="2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3 — options compared, with ≥1 reproduced published/pretrained method</w:t>
            </w:r>
          </w:p>
        </w:tc>
        <w:tc>
          <w:tcPr>
            <w:tcW w:w="2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4 — knowledge base built; models and parameters justified</w:t>
            </w:r>
          </w:p>
        </w:tc>
        <w:tc>
          <w:tcPr>
            <w:tcW w:w="2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5 — real evidence: OCR quality + a working retrieval</w:t>
            </w:r>
          </w:p>
        </w:tc>
        <w:tc>
          <w:tcPr>
            <w:tcW w:w="2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25</w:t>
            </w:r>
          </w:p>
        </w:tc>
      </w:tr>
      <w:tr>
        <w:trPr/>
        <w:tc>
          <w:tcPr>
            <w:tcW w:w="7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6 — a concrete, sensible plan for A3</w:t>
            </w:r>
          </w:p>
        </w:tc>
        <w:tc>
          <w:tcPr>
            <w:tcW w:w="2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7 — eight-facet design table for Stages 1–4</w:t>
            </w:r>
          </w:p>
        </w:tc>
        <w:tc>
          <w:tcPr>
            <w:tcW w:w="2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8 + submission structure correct</w:t>
            </w:r>
          </w:p>
        </w:tc>
        <w:tc>
          <w:tcPr>
            <w:tcW w:w="2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6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LibreOffice/26.2.5.2$Linux_X86_64 LibreOffice_project/6d2b0d33fb0f5da53a12f98bed3e9973e56ff1f0</Application>
  <AppVersion>15.0000</AppVersion>
  <Pages>12</Pages>
  <Words>3272</Words>
  <Characters>19892</Characters>
  <CharactersWithSpaces>23007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2026-07-04T23:56:32Z</dcterms:created>
  <dc:creator>Un-named</dc:creator>
  <dc:description/>
  <dc:language>en-US</dc:language>
  <cp:lastModifiedBy/>
  <dcterms:modified xsi:type="dcterms:W3CDTF">2026-08-14T03:38:44Z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