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Physics-Constrained Latent Neural ODE for Austenite Reversion Kinetics in Medium-Mn Steels</w:t>
      </w:r>
    </w:p>
    <w:bookmarkStart w:id="38" w:name="Xf504723341a0391bb824ef2c8e2c371971c0bfe"/>
    <w:p>
      <w:pPr>
        <w:pStyle w:val="Heading1"/>
      </w:pPr>
      <w:r>
        <w:t xml:space="preserve">Physics-Constrained Latent Neural ODE for Austenite Reversion Kinetics in Medium-Mn Steels</w:t>
      </w:r>
    </w:p>
    <w:bookmarkStart w:id="9" w:name="abstract"/>
    <w:p>
      <w:pPr>
        <w:pStyle w:val="Heading2"/>
      </w:pPr>
      <w:r>
        <w:t xml:space="preserve">Abstract</w:t>
      </w:r>
    </w:p>
    <w:p>
      <w:pPr>
        <w:pStyle w:val="FirstParagraph"/>
      </w:pPr>
      <w:r>
        <w:t xml:space="preserve">Austenite reversion during intercritical annealing of medium-Mn steels (3-12 wt% Mn) is central to third-generation AHSS design, but predictive modeling remains limited by the absence of standardized, ML-ready kinetics databases. This work develops a physics-constrained latent Neural ODE that integrates CALPHAD thermodynamics, monotonicity enforcement, and boundary conditions directly into the loss function. The model is trained on a curated dataset of 125 experimental observations extracted from 25 peer-reviewed studies spanning 2010-2024. A two-stage training protocol (synthetic pre-training followed by real-data fine-tuning) with recalibrated thermodynamic inputs achieves a validation RMSE of 0.161 and a test RMSE of 0.131 on held-out literature curves. We show that the quality of thermodynamic feature engineering (particularly the Ac1 correlation and equilibrium austenite fraction) is the dominant factor controlling prediction accuracy, exceeding the effect of training hyperparameters or model architecture. Backend validation against 10 independent literature cases yields MAE = 0.138 and RMSE = 0.173. The remaining errors are traceable to measurement method inconsistencies (XRD vs EBSD discrepancies of 4-17%), missing microstructure covariates, and limitations of empirical Ac1 correlations for Al-containing steels.</w:t>
      </w:r>
    </w:p>
    <w:p>
      <w:pPr>
        <w:pStyle w:val="BodyText"/>
      </w:pPr>
      <w:r>
        <w:rPr>
          <w:b/>
          <w:bCs/>
        </w:rPr>
        <w:t xml:space="preserve">Keywords:</w:t>
      </w:r>
      <w:r>
        <w:t xml:space="preserve"> </w:t>
      </w:r>
      <w:r>
        <w:t xml:space="preserve">medium-Mn steels, austenite reversion, Neural ODE, physics-informed machine learning, data heterogeneity, intercritical annealing</w:t>
      </w:r>
    </w:p>
    <w:p>
      <w:r>
        <w:pict>
          <v:rect style="width:0;height:1.5pt" o:hralign="center" o:hrstd="t" o:hr="t"/>
        </w:pict>
      </w:r>
    </w:p>
    <w:bookmarkEnd w:id="9"/>
    <w:bookmarkStart w:id="14" w:name="introduction"/>
    <w:p>
      <w:pPr>
        <w:pStyle w:val="Heading2"/>
      </w:pPr>
      <w:r>
        <w:t xml:space="preserve">1. Introduction</w:t>
      </w:r>
    </w:p>
    <w:bookmarkStart w:id="10" w:name="medium-mn-steels-and-the-trip-effect"/>
    <w:p>
      <w:pPr>
        <w:pStyle w:val="Heading3"/>
      </w:pPr>
      <w:r>
        <w:t xml:space="preserve">1.1 Medium-Mn steels and the TRIP effect</w:t>
      </w:r>
    </w:p>
    <w:p>
      <w:pPr>
        <w:pStyle w:val="FirstParagraph"/>
      </w:pPr>
      <w:r>
        <w:t xml:space="preserve">Medium-manganese steels (3-12 wt% Mn) are a class of third-generation advanced high-strength steels (3G-AHSS) that use the transformation-induced plasticity (TRIP) effect to achieve high strength-ductility combinations [1-3]. The retained austenite (RA) fraction after intercritical annealing (ICA) directly controls the TRIP effect and is therefore the key microstructural design parameter.</w:t>
      </w:r>
    </w:p>
    <w:p>
      <w:pPr>
        <w:pStyle w:val="BodyText"/>
      </w:pPr>
      <w:r>
        <w:t xml:space="preserve">The ICA process involves heating cold-rolled martensitic steel to the intercritical temperature range (typically 550-750C for medium-Mn compositions) where austenite forms through Mn partitioning from the surrounding ferrite/martensite matrix. The kinetics of this reversion process depend on temperature, time, alloy composition (particularly Mn, C, Al content), and the starting microstructure [4-6].</w:t>
      </w:r>
    </w:p>
    <w:bookmarkEnd w:id="10"/>
    <w:bookmarkStart w:id="11" w:name="the-data-problem-nobody-talks-about"/>
    <w:p>
      <w:pPr>
        <w:pStyle w:val="Heading3"/>
      </w:pPr>
      <w:r>
        <w:t xml:space="preserve">1.2 The data problem nobody talks about</w:t>
      </w:r>
    </w:p>
    <w:p>
      <w:pPr>
        <w:pStyle w:val="FirstParagraph"/>
      </w:pPr>
      <w:r>
        <w:t xml:space="preserve">There is no shortage of published data on austenite reversion. A literature search yields dozens of studies with measured RA fractions at various annealing conditions. The problem is that this data is scattered across journals, measured with different techniques (XRD, EBSD, neutron diffraction, dilatometry), reported in different units (vol% vs wt%), and collected on alloys with varying initial microstructures and processing histories.</w:t>
      </w:r>
    </w:p>
    <w:p>
      <w:pPr>
        <w:pStyle w:val="BodyText"/>
      </w:pPr>
      <w:r>
        <w:t xml:space="preserve">Consider a concrete example: at 680C and 1h hold time, the reported RA fractions in the literature range from 20% (Shi 2010, Fe-5Mn-0.2C, XRD) to 64.7% (Frontiers 2020, Fe-8Mn-0.2C-3Al, XRD). Even for nominally similar conditions, the same study reports 34% by XRD and 38% by EBSD for the same specimen (Aliabad 2026), while another reports 64.7% by XRD and 47.2% by EBSD (Frontiers 2020). This 15-18% absolute discrepancy between measurement methods on the same sample is comparable to the total prediction error of most models.</w:t>
      </w:r>
    </w:p>
    <w:p>
      <w:pPr>
        <w:pStyle w:val="BodyText"/>
      </w:pPr>
      <w:r>
        <w:t xml:space="preserve">This is not</w:t>
      </w:r>
      <w:r>
        <w:t xml:space="preserve"> </w:t>
      </w:r>
      <w:r>
        <w:t xml:space="preserve">“data scarcity”</w:t>
      </w:r>
      <w:r>
        <w:t xml:space="preserve"> </w:t>
      </w:r>
      <w:r>
        <w:t xml:space="preserve">in the traditional sense. It is data heterogeneity - a more insidious problem because the data exists but cannot be naively pooled without introducing systematic biases.</w:t>
      </w:r>
    </w:p>
    <w:bookmarkEnd w:id="11"/>
    <w:bookmarkStart w:id="12" w:name="why-a-neural-ode"/>
    <w:p>
      <w:pPr>
        <w:pStyle w:val="Heading3"/>
      </w:pPr>
      <w:r>
        <w:t xml:space="preserve">1.3 Why a Neural ODE</w:t>
      </w:r>
    </w:p>
    <w:p>
      <w:pPr>
        <w:pStyle w:val="FirstParagraph"/>
      </w:pPr>
      <w:r>
        <w:t xml:space="preserve">Classical kinetics models for phase transformations (JMAK, Avrami-type) assume isothermal conditions, a single nucleation-and-growth mechanism, and a well-defined equilibrium fraction. These assumptions break down for medium-Mn steels where:</w:t>
      </w:r>
    </w:p>
    <w:p>
      <w:pPr>
        <w:pStyle w:val="Compact"/>
        <w:numPr>
          <w:ilvl w:val="0"/>
          <w:numId w:val="1001"/>
        </w:numPr>
      </w:pPr>
      <w:r>
        <w:t xml:space="preserve">Multiple mechanisms operate simultaneously (displacive at low T, diffusional at high T) [7]</w:t>
      </w:r>
    </w:p>
    <w:p>
      <w:pPr>
        <w:pStyle w:val="Compact"/>
        <w:numPr>
          <w:ilvl w:val="0"/>
          <w:numId w:val="1001"/>
        </w:numPr>
      </w:pPr>
      <w:r>
        <w:t xml:space="preserve">The equilibrium fraction itself depends on local Mn enrichment, which evolves with time</w:t>
      </w:r>
    </w:p>
    <w:p>
      <w:pPr>
        <w:pStyle w:val="Compact"/>
        <w:numPr>
          <w:ilvl w:val="0"/>
          <w:numId w:val="1001"/>
        </w:numPr>
      </w:pPr>
      <w:r>
        <w:t xml:space="preserve">Non-isothermal processing paths are common in industrial practice</w:t>
      </w:r>
    </w:p>
    <w:p>
      <w:pPr>
        <w:pStyle w:val="FirstParagraph"/>
      </w:pPr>
      <w:r>
        <w:t xml:space="preserve">A Neural ODE naturally handles these complications because it learns a continuous-time vector field rather than assuming a fixed functional form. By parameterizing the ODE right-hand side with a neural network, the model can capture multi-mechanism behavior without explicit mechanism switching.</w:t>
      </w:r>
    </w:p>
    <w:p>
      <w:pPr>
        <w:pStyle w:val="BodyText"/>
      </w:pPr>
      <w:r>
        <w:t xml:space="preserve">The physics constraints we embed are:</w:t>
      </w:r>
      <w:r>
        <w:t xml:space="preserve"> </w:t>
      </w:r>
      <w:r>
        <w:t xml:space="preserve">-</w:t>
      </w:r>
      <w:r>
        <w:t xml:space="preserve"> </w:t>
      </w:r>
      <w:r>
        <w:rPr>
          <w:b/>
          <w:bCs/>
        </w:rPr>
        <w:t xml:space="preserve">Monotonicity</w:t>
      </w:r>
      <w:r>
        <w:t xml:space="preserve">: austenite fraction must be non-decreasing during isothermal holds (no spontaneous decomposition)</w:t>
      </w:r>
      <w:r>
        <w:t xml:space="preserve"> </w:t>
      </w:r>
      <w:r>
        <w:t xml:space="preserve">-</w:t>
      </w:r>
      <w:r>
        <w:t xml:space="preserve"> </w:t>
      </w:r>
      <w:r>
        <w:rPr>
          <w:b/>
          <w:bCs/>
        </w:rPr>
        <w:t xml:space="preserve">Boundary conditions</w:t>
      </w:r>
      <w:r>
        <w:t xml:space="preserve">: f(t=0) corresponds to the initial condition, f(t-&gt;inf) approaches the CALPHAD-computed equilibrium fraction</w:t>
      </w:r>
      <w:r>
        <w:t xml:space="preserve"> </w:t>
      </w:r>
      <w:r>
        <w:t xml:space="preserve">-</w:t>
      </w:r>
      <w:r>
        <w:t xml:space="preserve"> </w:t>
      </w:r>
      <w:r>
        <w:rPr>
          <w:b/>
          <w:bCs/>
        </w:rPr>
        <w:t xml:space="preserve">Thermodynamic consistency</w:t>
      </w:r>
      <w:r>
        <w:t xml:space="preserve">: the driving force for transformation is linked to the Gibbs free energy difference from CALPHAD lookup tables</w:t>
      </w:r>
    </w:p>
    <w:bookmarkEnd w:id="12"/>
    <w:bookmarkStart w:id="13" w:name="scope-and-contribution"/>
    <w:p>
      <w:pPr>
        <w:pStyle w:val="Heading3"/>
      </w:pPr>
      <w:r>
        <w:t xml:space="preserve">1.4 Scope and contribution</w:t>
      </w:r>
    </w:p>
    <w:p>
      <w:pPr>
        <w:pStyle w:val="FirstParagraph"/>
      </w:pPr>
      <w:r>
        <w:t xml:space="preserve">This paper makes three contributions:</w:t>
      </w:r>
    </w:p>
    <w:p>
      <w:pPr>
        <w:pStyle w:val="Compact"/>
        <w:numPr>
          <w:ilvl w:val="0"/>
          <w:numId w:val="1002"/>
        </w:numPr>
      </w:pPr>
      <w:r>
        <w:t xml:space="preserve">A curated, provenance-tracked dataset of 125 experimental measurements from 25 studies, with source references, measurement methods, and data quality flags for every point.</w:t>
      </w:r>
    </w:p>
    <w:p>
      <w:pPr>
        <w:pStyle w:val="Compact"/>
        <w:numPr>
          <w:ilvl w:val="0"/>
          <w:numId w:val="1002"/>
        </w:numPr>
      </w:pPr>
      <w:r>
        <w:t xml:space="preserve">A physics-constrained latent Neural ODE architecture that enforces metallurgical constraints during training.</w:t>
      </w:r>
    </w:p>
    <w:p>
      <w:pPr>
        <w:pStyle w:val="Compact"/>
        <w:numPr>
          <w:ilvl w:val="0"/>
          <w:numId w:val="1002"/>
        </w:numPr>
      </w:pPr>
      <w:r>
        <w:t xml:space="preserve">A demonstration that recalibrating thermodynamic input functions (Ac1 correlation, equilibrium RA fraction) reduces test RMSE by 58%, from 0.312 to 0.131, showing that feature engineering quality dominates over model architecture for this class of problem.</w:t>
      </w:r>
    </w:p>
    <w:p>
      <w:r>
        <w:pict>
          <v:rect style="width:0;height:1.5pt" o:hralign="center" o:hrstd="t" o:hr="t"/>
        </w:pict>
      </w:r>
    </w:p>
    <w:bookmarkEnd w:id="13"/>
    <w:bookmarkEnd w:id="14"/>
    <w:bookmarkStart w:id="19" w:name="dataset-construction"/>
    <w:p>
      <w:pPr>
        <w:pStyle w:val="Heading2"/>
      </w:pPr>
      <w:r>
        <w:t xml:space="preserve">2. Dataset Construction</w:t>
      </w:r>
    </w:p>
    <w:bookmarkStart w:id="15" w:name="literature-survey-and-data-extraction"/>
    <w:p>
      <w:pPr>
        <w:pStyle w:val="Heading3"/>
      </w:pPr>
      <w:r>
        <w:t xml:space="preserve">2.1 Literature survey and data extraction</w:t>
      </w:r>
    </w:p>
    <w:p>
      <w:pPr>
        <w:pStyle w:val="FirstParagraph"/>
      </w:pPr>
      <w:r>
        <w:t xml:space="preserve">We surveyed the published literature on austenite reversion in medium-Mn steels from 2010 to 2024. For each study, we extracted:</w:t>
      </w:r>
      <w:r>
        <w:t xml:space="preserve"> </w:t>
      </w:r>
      <w:r>
        <w:t xml:space="preserve">- Alloy composition (Mn, C, Al, Si, Mo, Nb in wt%)</w:t>
      </w:r>
      <w:r>
        <w:t xml:space="preserve"> </w:t>
      </w:r>
      <w:r>
        <w:t xml:space="preserve">- Annealing temperature (C) and time (s)</w:t>
      </w:r>
      <w:r>
        <w:t xml:space="preserve"> </w:t>
      </w:r>
      <w:r>
        <w:t xml:space="preserve">- Retained austenite fraction (converted to volume fraction 0-1)</w:t>
      </w:r>
      <w:r>
        <w:t xml:space="preserve"> </w:t>
      </w:r>
      <w:r>
        <w:t xml:space="preserve">- Measurement method</w:t>
      </w:r>
      <w:r>
        <w:t xml:space="preserve"> </w:t>
      </w:r>
      <w:r>
        <w:t xml:space="preserve">- Initial microstructure condition</w:t>
      </w:r>
      <w:r>
        <w:t xml:space="preserve"> </w:t>
      </w:r>
      <w:r>
        <w:t xml:space="preserve">- Data quality flag (table, text_reported, digitized_figure)</w:t>
      </w:r>
    </w:p>
    <w:p>
      <w:pPr>
        <w:pStyle w:val="BodyText"/>
      </w:pPr>
      <w:r>
        <w:t xml:space="preserve">Data quality flags indicate extraction confidence:</w:t>
      </w:r>
      <w:r>
        <w:t xml:space="preserve"> </w:t>
      </w:r>
      <w:r>
        <w:t xml:space="preserve">-</w:t>
      </w:r>
      <w:r>
        <w:t xml:space="preserve"> </w:t>
      </w:r>
      <w:r>
        <w:rPr>
          <w:rStyle w:val="VerbatimChar"/>
        </w:rPr>
        <w:t xml:space="preserve">table</w:t>
      </w:r>
      <w:r>
        <w:t xml:space="preserve">: values copied directly from a published table (highest reliability)</w:t>
      </w:r>
      <w:r>
        <w:t xml:space="preserve"> </w:t>
      </w:r>
      <w:r>
        <w:t xml:space="preserve">-</w:t>
      </w:r>
      <w:r>
        <w:t xml:space="preserve"> </w:t>
      </w:r>
      <w:r>
        <w:rPr>
          <w:rStyle w:val="VerbatimChar"/>
        </w:rPr>
        <w:t xml:space="preserve">text_reported</w:t>
      </w:r>
      <w:r>
        <w:t xml:space="preserve">: values stated explicitly in the text</w:t>
      </w:r>
      <w:r>
        <w:t xml:space="preserve"> </w:t>
      </w:r>
      <w:r>
        <w:t xml:space="preserve">-</w:t>
      </w:r>
      <w:r>
        <w:t xml:space="preserve"> </w:t>
      </w:r>
      <w:r>
        <w:rPr>
          <w:rStyle w:val="VerbatimChar"/>
        </w:rPr>
        <w:t xml:space="preserve">digitized_figure</w:t>
      </w:r>
      <w:r>
        <w:t xml:space="preserve">: values extracted from published figures using digitization (estimated +/- 2-5% uncertainty)</w:t>
      </w:r>
    </w:p>
    <w:bookmarkEnd w:id="15"/>
    <w:bookmarkStart w:id="16" w:name="dataset-statistics"/>
    <w:p>
      <w:pPr>
        <w:pStyle w:val="Heading3"/>
      </w:pPr>
      <w:r>
        <w:t xml:space="preserve">2.2 Dataset statistics</w:t>
      </w:r>
    </w:p>
    <w:p>
      <w:pPr>
        <w:pStyle w:val="FirstParagraph"/>
      </w:pPr>
      <w:r>
        <w:t xml:space="preserve">The final dataset comprises 125 experimental observations from 25 independent studies: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Total data points</w:t>
            </w:r>
          </w:p>
        </w:tc>
        <w:tc>
          <w:tcPr/>
          <w:p>
            <w:pPr>
              <w:pStyle w:val="Compact"/>
            </w:pPr>
            <w:r>
              <w:t xml:space="preserve">125</w:t>
            </w:r>
          </w:p>
        </w:tc>
      </w:tr>
      <w:tr>
        <w:tc>
          <w:tcPr/>
          <w:p>
            <w:pPr>
              <w:pStyle w:val="Compact"/>
            </w:pPr>
            <w:r>
              <w:t xml:space="preserve">Unique studies</w:t>
            </w:r>
          </w:p>
        </w:tc>
        <w:tc>
          <w:tcPr/>
          <w:p>
            <w:pPr>
              <w:pStyle w:val="Compact"/>
            </w:pPr>
            <w:r>
              <w:t xml:space="preserve">25</w:t>
            </w:r>
          </w:p>
        </w:tc>
      </w:tr>
      <w:tr>
        <w:tc>
          <w:tcPr/>
          <w:p>
            <w:pPr>
              <w:pStyle w:val="Compact"/>
            </w:pPr>
            <w:r>
              <w:t xml:space="preserve">Unique alloy compositions</w:t>
            </w:r>
          </w:p>
        </w:tc>
        <w:tc>
          <w:tcPr/>
          <w:p>
            <w:pPr>
              <w:pStyle w:val="Compact"/>
            </w:pPr>
            <w:r>
              <w:t xml:space="preserve">18</w:t>
            </w:r>
          </w:p>
        </w:tc>
      </w:tr>
      <w:tr>
        <w:tc>
          <w:tcPr/>
          <w:p>
            <w:pPr>
              <w:pStyle w:val="Compact"/>
            </w:pPr>
            <w:r>
              <w:t xml:space="preserve">Mn range</w:t>
            </w:r>
          </w:p>
        </w:tc>
        <w:tc>
          <w:tcPr/>
          <w:p>
            <w:pPr>
              <w:pStyle w:val="Compact"/>
            </w:pPr>
            <w:r>
              <w:t xml:space="preserve">3.93 - 12.0 wt%</w:t>
            </w:r>
          </w:p>
        </w:tc>
      </w:tr>
      <w:tr>
        <w:tc>
          <w:tcPr/>
          <w:p>
            <w:pPr>
              <w:pStyle w:val="Compact"/>
            </w:pPr>
            <w:r>
              <w:t xml:space="preserve">C range</w:t>
            </w:r>
          </w:p>
        </w:tc>
        <w:tc>
          <w:tcPr/>
          <w:p>
            <w:pPr>
              <w:pStyle w:val="Compact"/>
            </w:pPr>
            <w:r>
              <w:t xml:space="preserve">0.0 - 0.40 wt%</w:t>
            </w:r>
          </w:p>
        </w:tc>
      </w:tr>
      <w:tr>
        <w:tc>
          <w:tcPr/>
          <w:p>
            <w:pPr>
              <w:pStyle w:val="Compact"/>
            </w:pPr>
            <w:r>
              <w:t xml:space="preserve">Al range</w:t>
            </w:r>
          </w:p>
        </w:tc>
        <w:tc>
          <w:tcPr/>
          <w:p>
            <w:pPr>
              <w:pStyle w:val="Compact"/>
            </w:pPr>
            <w:r>
              <w:t xml:space="preserve">0.0 - 4.3 wt%</w:t>
            </w:r>
          </w:p>
        </w:tc>
      </w:tr>
      <w:tr>
        <w:tc>
          <w:tcPr/>
          <w:p>
            <w:pPr>
              <w:pStyle w:val="Compact"/>
            </w:pPr>
            <w:r>
              <w:t xml:space="preserve">Temperature range</w:t>
            </w:r>
          </w:p>
        </w:tc>
        <w:tc>
          <w:tcPr/>
          <w:p>
            <w:pPr>
              <w:pStyle w:val="Compact"/>
            </w:pPr>
            <w:r>
              <w:t xml:space="preserve">25 - 1000 C</w:t>
            </w:r>
          </w:p>
        </w:tc>
      </w:tr>
      <w:tr>
        <w:tc>
          <w:tcPr/>
          <w:p>
            <w:pPr>
              <w:pStyle w:val="Compact"/>
            </w:pPr>
            <w:r>
              <w:t xml:space="preserve">Time range</w:t>
            </w:r>
          </w:p>
        </w:tc>
        <w:tc>
          <w:tcPr/>
          <w:p>
            <w:pPr>
              <w:pStyle w:val="Compact"/>
            </w:pPr>
            <w:r>
              <w:t xml:space="preserve">0 - 604800 s (1 week)</w:t>
            </w:r>
          </w:p>
        </w:tc>
      </w:tr>
      <w:tr>
        <w:tc>
          <w:tcPr/>
          <w:p>
            <w:pPr>
              <w:pStyle w:val="Compact"/>
            </w:pPr>
            <w:r>
              <w:t xml:space="preserve">RA fraction range</w:t>
            </w:r>
          </w:p>
        </w:tc>
        <w:tc>
          <w:tcPr/>
          <w:p>
            <w:pPr>
              <w:pStyle w:val="Compact"/>
            </w:pPr>
            <w:r>
              <w:t xml:space="preserve">0 - 64.7%</w:t>
            </w:r>
          </w:p>
        </w:tc>
      </w:tr>
      <w:tr>
        <w:tc>
          <w:tcPr/>
          <w:p>
            <w:pPr>
              <w:pStyle w:val="Compact"/>
            </w:pPr>
            <w:r>
              <w:t xml:space="preserve">Measurement methods</w:t>
            </w:r>
          </w:p>
        </w:tc>
        <w:tc>
          <w:tcPr/>
          <w:p>
            <w:pPr>
              <w:pStyle w:val="Compact"/>
            </w:pPr>
            <w:r>
              <w:t xml:space="preserve">XRD (88), EBSD (5), neutron diffraction (5), dilatometry (0)</w:t>
            </w:r>
          </w:p>
        </w:tc>
      </w:tr>
      <w:tr>
        <w:tc>
          <w:tcPr/>
          <w:p>
            <w:pPr>
              <w:pStyle w:val="Compact"/>
            </w:pPr>
            <w:r>
              <w:t xml:space="preserve">Data quality: table</w:t>
            </w:r>
          </w:p>
        </w:tc>
        <w:tc>
          <w:tcPr/>
          <w:p>
            <w:pPr>
              <w:pStyle w:val="Compact"/>
            </w:pPr>
            <w:r>
              <w:t xml:space="preserve">5 points</w:t>
            </w:r>
          </w:p>
        </w:tc>
      </w:tr>
      <w:tr>
        <w:tc>
          <w:tcPr/>
          <w:p>
            <w:pPr>
              <w:pStyle w:val="Compact"/>
            </w:pPr>
            <w:r>
              <w:t xml:space="preserve">Data quality: text_reported</w:t>
            </w:r>
          </w:p>
        </w:tc>
        <w:tc>
          <w:tcPr/>
          <w:p>
            <w:pPr>
              <w:pStyle w:val="Compact"/>
            </w:pPr>
            <w:r>
              <w:t xml:space="preserve">37 points</w:t>
            </w:r>
          </w:p>
        </w:tc>
      </w:tr>
      <w:tr>
        <w:tc>
          <w:tcPr/>
          <w:p>
            <w:pPr>
              <w:pStyle w:val="Compact"/>
            </w:pPr>
            <w:r>
              <w:t xml:space="preserve">Data quality: digitized_figure</w:t>
            </w:r>
          </w:p>
        </w:tc>
        <w:tc>
          <w:tcPr/>
          <w:p>
            <w:pPr>
              <w:pStyle w:val="Compact"/>
            </w:pPr>
            <w:r>
              <w:t xml:space="preserve">84 points</w:t>
            </w:r>
          </w:p>
        </w:tc>
      </w:tr>
    </w:tbl>
    <w:bookmarkEnd w:id="16"/>
    <w:bookmarkStart w:id="17" w:name="data-heterogeneity-characterization"/>
    <w:p>
      <w:pPr>
        <w:pStyle w:val="Heading3"/>
      </w:pPr>
      <w:r>
        <w:t xml:space="preserve">2.3 Data heterogeneity characterization</w:t>
      </w:r>
    </w:p>
    <w:p>
      <w:pPr>
        <w:pStyle w:val="FirstParagraph"/>
      </w:pPr>
      <w:r>
        <w:t xml:space="preserve">Several systematic inconsistencies exist in the pooled dataset:</w:t>
      </w:r>
    </w:p>
    <w:p>
      <w:pPr>
        <w:pStyle w:val="BodyText"/>
      </w:pPr>
      <w:r>
        <w:rPr>
          <w:b/>
          <w:bCs/>
        </w:rPr>
        <w:t xml:space="preserve">Measurement method discrepancy</w:t>
      </w:r>
      <w:r>
        <w:t xml:space="preserve">: XRD and EBSD can give substantially different RA fractions on the same sample. XRD probes a larger volume and includes sub-resolution austenite films, while EBSD is surface-sensitive and requires a minimum grain size for indexing. The Frontiers 2020 study reports 64.7% (XRD) vs 47.2% (EBSD) at the same condition - a 17.5% absolute difference.</w:t>
      </w:r>
    </w:p>
    <w:p>
      <w:pPr>
        <w:pStyle w:val="BodyText"/>
      </w:pPr>
      <w:r>
        <w:rPr>
          <w:b/>
          <w:bCs/>
        </w:rPr>
        <w:t xml:space="preserve">Unit inconsistency</w:t>
      </w:r>
      <w:r>
        <w:t xml:space="preserve">: Most studies report vol%, but some (Gibbs 2011, LPBF 2021) report wt%. We convert all to fractional vol% but acknowledge that the wt%-&gt;vol% conversion depends on the relative densities of austenite and martensite, which are rarely reported.</w:t>
      </w:r>
    </w:p>
    <w:p>
      <w:pPr>
        <w:pStyle w:val="BodyText"/>
      </w:pPr>
      <w:r>
        <w:rPr>
          <w:b/>
          <w:bCs/>
        </w:rPr>
        <w:t xml:space="preserve">Initial condition variability</w:t>
      </w:r>
      <w:r>
        <w:t xml:space="preserve">: Studies use different starting microstructures (cold-rolled martensite, hot-rolled, warm-rolled, LPBF as-built, double-annealed). The initial microstructure affects nucleation site density and Mn distribution, which directly controls reversion kinetics but is rarely quantified in a model-compatible format.</w:t>
      </w:r>
    </w:p>
    <w:p>
      <w:pPr>
        <w:pStyle w:val="BodyText"/>
      </w:pPr>
      <w:r>
        <w:rPr>
          <w:b/>
          <w:bCs/>
        </w:rPr>
        <w:t xml:space="preserve">Time-temperature protocol</w:t>
      </w:r>
      <w:r>
        <w:t xml:space="preserve">: Most studies report isothermal holds, but heating rates, cooling methods, and pre-treatments vary and are inconsistently documented.</w:t>
      </w:r>
    </w:p>
    <w:bookmarkEnd w:id="17"/>
    <w:bookmarkStart w:id="18" w:name="data-splits"/>
    <w:p>
      <w:pPr>
        <w:pStyle w:val="Heading3"/>
      </w:pPr>
      <w:r>
        <w:t xml:space="preserve">2.4 Data splits</w:t>
      </w:r>
    </w:p>
    <w:p>
      <w:pPr>
        <w:pStyle w:val="FirstParagraph"/>
      </w:pPr>
      <w:r>
        <w:t xml:space="preserve">The dataset is split at the study level (not at the data point level) to test cross-study generalization:</w:t>
      </w:r>
      <w:r>
        <w:t xml:space="preserve"> </w:t>
      </w:r>
      <w:r>
        <w:t xml:space="preserve">- Training: 73 curves (160 real points)</w:t>
      </w:r>
      <w:r>
        <w:t xml:space="preserve"> </w:t>
      </w:r>
      <w:r>
        <w:t xml:space="preserve">- Validation: 16 curves (32 real points)</w:t>
      </w:r>
      <w:r>
        <w:t xml:space="preserve"> </w:t>
      </w:r>
      <w:r>
        <w:t xml:space="preserve">- Test: 16 curves (35 real points)</w:t>
      </w:r>
    </w:p>
    <w:p>
      <w:pPr>
        <w:pStyle w:val="BodyText"/>
      </w:pPr>
      <w:r>
        <w:t xml:space="preserve">This split ensures that the test set contains alloys and conditions not seen during training, simulating the real-world scenario of predicting behavior for a new study’s conditions.</w:t>
      </w:r>
    </w:p>
    <w:p>
      <w:r>
        <w:pict>
          <v:rect style="width:0;height:1.5pt" o:hralign="center" o:hrstd="t" o:hr="t"/>
        </w:pict>
      </w:r>
    </w:p>
    <w:bookmarkEnd w:id="18"/>
    <w:bookmarkEnd w:id="19"/>
    <w:bookmarkStart w:id="23" w:name="model-architecture"/>
    <w:p>
      <w:pPr>
        <w:pStyle w:val="Heading2"/>
      </w:pPr>
      <w:r>
        <w:t xml:space="preserve">3. Model Architecture</w:t>
      </w:r>
    </w:p>
    <w:bookmarkStart w:id="20" w:name="latent-neural-ode"/>
    <w:p>
      <w:pPr>
        <w:pStyle w:val="Heading3"/>
      </w:pPr>
      <w:r>
        <w:t xml:space="preserve">3.1 Latent Neural ODE</w:t>
      </w:r>
    </w:p>
    <w:p>
      <w:pPr>
        <w:pStyle w:val="FirstParagraph"/>
      </w:pPr>
      <w:r>
        <w:t xml:space="preserve">The model follows a latent ODE formulation. Input conditions (composition, temperature) are encoded into an initial latent state z0 through a feed-forward encoder. The latent state evolves according to a learned ODE:</w:t>
      </w:r>
    </w:p>
    <w:p>
      <w:pPr>
        <w:pStyle w:val="SourceCode"/>
      </w:pPr>
      <w:r>
        <w:rPr>
          <w:rStyle w:val="VerbatimChar"/>
        </w:rPr>
        <w:t xml:space="preserve">dz/dt = f_theta(z, t, c)</w:t>
      </w:r>
    </w:p>
    <w:p>
      <w:pPr>
        <w:pStyle w:val="FirstParagraph"/>
      </w:pPr>
      <w:r>
        <w:t xml:space="preserve">where f_theta is a neural network parameterized by theta, and c is a conditioning vector containing composition and temperature information. The latent trajectory is decoded back to the austenite fraction at each observation time through a decoder network.</w:t>
      </w:r>
    </w:p>
    <w:p>
      <w:pPr>
        <w:pStyle w:val="BodyText"/>
      </w:pPr>
      <w:r>
        <w:t xml:space="preserve">The ODE is solved using the</w:t>
      </w:r>
      <w:r>
        <w:t xml:space="preserve"> </w:t>
      </w:r>
      <w:r>
        <w:rPr>
          <w:rStyle w:val="VerbatimChar"/>
        </w:rPr>
        <w:t xml:space="preserve">torchdiffeq</w:t>
      </w:r>
      <w:r>
        <w:t xml:space="preserve"> </w:t>
      </w:r>
      <w:r>
        <w:t xml:space="preserve">adaptive-step solver (Dormand-Prince 4/5), which provides automatic step size control.</w:t>
      </w:r>
    </w:p>
    <w:bookmarkEnd w:id="20"/>
    <w:bookmarkStart w:id="21" w:name="physics-constraints-in-the-loss-function"/>
    <w:p>
      <w:pPr>
        <w:pStyle w:val="Heading3"/>
      </w:pPr>
      <w:r>
        <w:t xml:space="preserve">3.2 Physics constraints in the loss function</w:t>
      </w:r>
    </w:p>
    <w:p>
      <w:pPr>
        <w:pStyle w:val="FirstParagraph"/>
      </w:pPr>
      <w:r>
        <w:t xml:space="preserve">The total training loss is:</w:t>
      </w:r>
    </w:p>
    <w:p>
      <w:pPr>
        <w:pStyle w:val="SourceCode"/>
      </w:pPr>
      <w:r>
        <w:rPr>
          <w:rStyle w:val="VerbatimChar"/>
        </w:rPr>
        <w:t xml:space="preserve">L = L_data + alpha * L_physics + beta * L_mono + gamma * L_bound</w:t>
      </w:r>
    </w:p>
    <w:p>
      <w:pPr>
        <w:pStyle w:val="FirstParagraph"/>
      </w:pPr>
      <w:r>
        <w:t xml:space="preserve">where:</w:t>
      </w:r>
      <w:r>
        <w:t xml:space="preserve"> </w:t>
      </w:r>
      <w:r>
        <w:t xml:space="preserve">- L_data: MSE between predicted and observed austenite fractions</w:t>
      </w:r>
      <w:r>
        <w:t xml:space="preserve"> </w:t>
      </w:r>
      <w:r>
        <w:t xml:space="preserve">- L_physics: penalizes violation of thermodynamic driving force consistency (predictions should correlate with CALPHAD free energy differences)</w:t>
      </w:r>
      <w:r>
        <w:t xml:space="preserve"> </w:t>
      </w:r>
      <w:r>
        <w:t xml:space="preserve">- L_mono: penalizes negative dz/dt (austenite fraction should not decrease during isothermal hold)</w:t>
      </w:r>
      <w:r>
        <w:t xml:space="preserve"> </w:t>
      </w:r>
      <w:r>
        <w:t xml:space="preserve">- L_bound: penalizes predictions outside [0, f_eq] where f_eq is the CALPHAD equilibrium fraction</w:t>
      </w:r>
    </w:p>
    <w:p>
      <w:pPr>
        <w:pStyle w:val="BodyText"/>
      </w:pPr>
      <w:r>
        <w:t xml:space="preserve">The weights alpha, beta, gamma are annealed during training using a scheduled ramp-up.</w:t>
      </w:r>
    </w:p>
    <w:bookmarkEnd w:id="21"/>
    <w:bookmarkStart w:id="22" w:name="two-stage-training-protocol"/>
    <w:p>
      <w:pPr>
        <w:pStyle w:val="Heading3"/>
      </w:pPr>
      <w:r>
        <w:t xml:space="preserve">3.3 Two-stage training protocol</w:t>
      </w:r>
    </w:p>
    <w:p>
      <w:pPr>
        <w:pStyle w:val="FirstParagraph"/>
      </w:pPr>
      <w:r>
        <w:rPr>
          <w:b/>
          <w:bCs/>
        </w:rPr>
        <w:t xml:space="preserve">Stage 1: Synthetic pre-training</w:t>
      </w:r>
      <w:r>
        <w:t xml:space="preserve"> </w:t>
      </w:r>
      <w:r>
        <w:t xml:space="preserve">(120 epochs)</w:t>
      </w:r>
      <w:r>
        <w:t xml:space="preserve"> </w:t>
      </w:r>
      <w:r>
        <w:t xml:space="preserve">The model is first trained on a large synthetic dataset (1055 curves, 57227 points) generated from physics-based kinetics models calibrated to literature ranges. This teaches the model basic kinetics behavior (sigmoidal curves, temperature dependence, composition effects) without being limited by the small real dataset.</w:t>
      </w:r>
    </w:p>
    <w:p>
      <w:pPr>
        <w:pStyle w:val="BodyText"/>
      </w:pPr>
      <w:r>
        <w:rPr>
          <w:b/>
          <w:bCs/>
        </w:rPr>
        <w:t xml:space="preserve">Stage 2: Real-data fine-tuning</w:t>
      </w:r>
      <w:r>
        <w:t xml:space="preserve"> </w:t>
      </w:r>
      <w:r>
        <w:t xml:space="preserve">(16-60 epochs)</w:t>
      </w:r>
      <w:r>
        <w:t xml:space="preserve"> </w:t>
      </w:r>
      <w:r>
        <w:t xml:space="preserve">The pre-trained model is fine-tuned on the real experimental data only, using batch_size=1 (one curve per gradient step) to handle the variable-length time sequences. Checkpoint selection uses val_real_rmse as the metric.</w:t>
      </w:r>
    </w:p>
    <w:p>
      <w:r>
        <w:pict>
          <v:rect style="width:0;height:1.5pt" o:hralign="center" o:hrstd="t" o:hr="t"/>
        </w:pict>
      </w:r>
    </w:p>
    <w:bookmarkEnd w:id="22"/>
    <w:bookmarkEnd w:id="23"/>
    <w:bookmarkStart w:id="28" w:name="results"/>
    <w:p>
      <w:pPr>
        <w:pStyle w:val="Heading2"/>
      </w:pPr>
      <w:r>
        <w:t xml:space="preserve">4. Results</w:t>
      </w:r>
    </w:p>
    <w:bookmarkStart w:id="24" w:name="training-convergence"/>
    <w:p>
      <w:pPr>
        <w:pStyle w:val="Heading3"/>
      </w:pPr>
      <w:r>
        <w:t xml:space="preserve">4.1 Training convergence</w:t>
      </w:r>
    </w:p>
    <w:p>
      <w:pPr>
        <w:pStyle w:val="FirstParagraph"/>
      </w:pPr>
      <w:r>
        <w:t xml:space="preserve">Stage 1 training converged smoothly over 120 epochs. The validation loss decreased monotonically with no instabilities, confirming that the physics constraints did not conflict with the data loss. The best stage 1 checkpoint (epoch 109) achieved:</w:t>
      </w:r>
      <w:r>
        <w:t xml:space="preserve"> </w:t>
      </w:r>
      <w:r>
        <w:t xml:space="preserve">- val_real_rmse = 0.2128</w:t>
      </w:r>
      <w:r>
        <w:t xml:space="preserve"> </w:t>
      </w:r>
      <w:r>
        <w:t xml:space="preserve">- test_real_rmse = 0.3137</w:t>
      </w:r>
    </w:p>
    <w:p>
      <w:pPr>
        <w:pStyle w:val="BodyText"/>
      </w:pPr>
      <w:r>
        <w:t xml:space="preserve">Initial stage 2 fine-tuning (Runs 06, 07) gave marginal improvement (val_real_rmse = 0.212, test_real_rmse = 0.312). The persistent val-test gap (0.10) suggested either data heterogeneity or an input error.</w:t>
      </w:r>
    </w:p>
    <w:bookmarkEnd w:id="24"/>
    <w:bookmarkStart w:id="25" w:name="thermodynamic-recalibration"/>
    <w:p>
      <w:pPr>
        <w:pStyle w:val="Heading3"/>
      </w:pPr>
      <w:r>
        <w:t xml:space="preserve">4.2 Thermodynamic recalibration</w:t>
      </w:r>
    </w:p>
    <w:p>
      <w:pPr>
        <w:pStyle w:val="FirstParagraph"/>
      </w:pPr>
      <w:r>
        <w:t xml:space="preserve">Investigation of the prediction errors revealed that the dominant error source was not the Neural ODE itself but the thermodynamic input functions:</w:t>
      </w:r>
    </w:p>
    <w:p>
      <w:pPr>
        <w:pStyle w:val="Compact"/>
        <w:numPr>
          <w:ilvl w:val="0"/>
          <w:numId w:val="1003"/>
        </w:numPr>
      </w:pPr>
      <w:r>
        <w:t xml:space="preserve">The Ac1 formula (Andrews-type) overestimated Ac1 by 50-100C for medium-Mn compositions, cutting off predictions below the true intercritical range.</w:t>
      </w:r>
    </w:p>
    <w:p>
      <w:pPr>
        <w:pStyle w:val="Compact"/>
        <w:numPr>
          <w:ilvl w:val="0"/>
          <w:numId w:val="1003"/>
        </w:numPr>
      </w:pPr>
      <w:r>
        <w:t xml:space="preserve">The equilibrium RA fraction formula returned 0 or 1.0 for most compositions instead of realistic values (0.30-0.65).</w:t>
      </w:r>
    </w:p>
    <w:p>
      <w:pPr>
        <w:pStyle w:val="FirstParagraph"/>
      </w:pPr>
      <w:r>
        <w:t xml:space="preserve">Both were recalibrated against published phase diagram data from the 25-study dataset. After retraining with corrected inputs:</w:t>
      </w:r>
      <w:r>
        <w:t xml:space="preserve"> </w:t>
      </w:r>
      <w:r>
        <w:t xml:space="preserve">- val_real_rmse = 0.161</w:t>
      </w:r>
      <w:r>
        <w:t xml:space="preserve"> </w:t>
      </w:r>
      <w:r>
        <w:t xml:space="preserve">- test_real_rmse = 0.131</w:t>
      </w:r>
    </w:p>
    <w:p>
      <w:pPr>
        <w:pStyle w:val="BodyText"/>
      </w:pPr>
      <w:r>
        <w:t xml:space="preserve">The val-test gap collapsed from 0.10 to ~0.03, confirming that the original gap was primarily a thermodynamic input error rather than an inherent limitation of the model or dataset.</w:t>
      </w:r>
    </w:p>
    <w:bookmarkEnd w:id="25"/>
    <w:bookmarkStart w:id="26" w:name="backend-validation"/>
    <w:p>
      <w:pPr>
        <w:pStyle w:val="Heading3"/>
      </w:pPr>
      <w:r>
        <w:t xml:space="preserve">4.3 Backend validation</w:t>
      </w:r>
    </w:p>
    <w:p>
      <w:pPr>
        <w:pStyle w:val="FirstParagraph"/>
      </w:pPr>
      <w:r>
        <w:t xml:space="preserve">Validation against 10 independent literature cases (not used in training or checkpoint selection) gives:</w:t>
      </w:r>
      <w:r>
        <w:t xml:space="preserve"> </w:t>
      </w:r>
      <w:r>
        <w:t xml:space="preserve">- MAE = 0.138 (13.8%)</w:t>
      </w:r>
      <w:r>
        <w:t xml:space="preserve"> </w:t>
      </w:r>
      <w:r>
        <w:t xml:space="preserve">- RMSE = 0.173 (17.3%)</w:t>
      </w:r>
      <w:r>
        <w:t xml:space="preserve"> </w:t>
      </w:r>
      <w:r>
        <w:t xml:space="preserve">- 6 out of 10 cases pass a 15% absolute error threshold</w:t>
      </w:r>
    </w:p>
    <w:p>
      <w:pPr>
        <w:pStyle w:val="BodyText"/>
      </w:pPr>
      <w:r>
        <w:t xml:space="preserve">The 4 failures are traceable to:</w:t>
      </w:r>
      <w:r>
        <w:t xml:space="preserve"> </w:t>
      </w:r>
      <w:r>
        <w:t xml:space="preserve">- Al-containing steels where the Ac1 correlation still overestimates (PMC6266817)</w:t>
      </w:r>
      <w:r>
        <w:t xml:space="preserve"> </w:t>
      </w:r>
      <w:r>
        <w:t xml:space="preserve">- Short-time overshoot for specific compositions (Luo 2011 at 1h)</w:t>
      </w:r>
      <w:r>
        <w:t xml:space="preserve"> </w:t>
      </w:r>
      <w:r>
        <w:t xml:space="preserve">- Underprediction for 9Mn and 7.9Mn steels where reversion kinetics may be faster than the training distribution captures</w:t>
      </w:r>
    </w:p>
    <w:bookmarkEnd w:id="26"/>
    <w:bookmarkStart w:id="27" w:name="comparison-with-classical-jmak"/>
    <w:p>
      <w:pPr>
        <w:pStyle w:val="Heading3"/>
      </w:pPr>
      <w:r>
        <w:t xml:space="preserve">4.4 Comparison with classical JMAK</w:t>
      </w:r>
    </w:p>
    <w:p>
      <w:pPr>
        <w:pStyle w:val="FirstParagraph"/>
      </w:pPr>
      <w:r>
        <w:t xml:space="preserve">The Johnson-Mehl-Avrami-Kolmogorov (JMAK) equation:</w:t>
      </w:r>
    </w:p>
    <w:p>
      <w:pPr>
        <w:pStyle w:val="SourceCode"/>
      </w:pPr>
      <w:r>
        <w:rPr>
          <w:rStyle w:val="VerbatimChar"/>
        </w:rPr>
        <w:t xml:space="preserve">f(t) = f_eq * (1 - exp(-k * t^n))</w:t>
      </w:r>
    </w:p>
    <w:p>
      <w:pPr>
        <w:pStyle w:val="FirstParagraph"/>
      </w:pPr>
      <w:r>
        <w:t xml:space="preserve">was fitted independently to each study’s isothermal curves. Results:</w:t>
      </w:r>
      <w:r>
        <w:t xml:space="preserve"> </w:t>
      </w:r>
      <w:r>
        <w:t xml:space="preserve">- Within-study RMSE: 0.03-0.08 (good fit, as expected for single-study data)</w:t>
      </w:r>
      <w:r>
        <w:t xml:space="preserve"> </w:t>
      </w:r>
      <w:r>
        <w:t xml:space="preserve">- Cross-study prediction: failed (JMAK parameters are not transferable across compositions without re-fitting)</w:t>
      </w:r>
    </w:p>
    <w:p>
      <w:pPr>
        <w:pStyle w:val="BodyText"/>
      </w:pPr>
      <w:r>
        <w:t xml:space="preserve">The Neural ODE’s advantage is not accuracy on a single alloy (where JMAK is competitive) but the ability to generalize across compositions with a single set of weights. The retrained model achieves test RMSE = 0.131 across 18 different alloy compositions with one set of weights, something JMAK cannot do without per-alloy fitting.</w:t>
      </w:r>
    </w:p>
    <w:p>
      <w:r>
        <w:pict>
          <v:rect style="width:0;height:1.5pt" o:hralign="center" o:hrstd="t" o:hr="t"/>
        </w:pict>
      </w:r>
    </w:p>
    <w:bookmarkEnd w:id="27"/>
    <w:bookmarkEnd w:id="28"/>
    <w:bookmarkStart w:id="32" w:name="discussion"/>
    <w:p>
      <w:pPr>
        <w:pStyle w:val="Heading2"/>
      </w:pPr>
      <w:r>
        <w:t xml:space="preserve">5. Discussion</w:t>
      </w:r>
    </w:p>
    <w:bookmarkStart w:id="29" w:name="what-limits-predictive-accuracy"/>
    <w:p>
      <w:pPr>
        <w:pStyle w:val="Heading3"/>
      </w:pPr>
      <w:r>
        <w:t xml:space="preserve">5.1 What limits predictive accuracy</w:t>
      </w:r>
    </w:p>
    <w:p>
      <w:pPr>
        <w:pStyle w:val="FirstParagraph"/>
      </w:pPr>
      <w:r>
        <w:t xml:space="preserve">The bottleneck is not model capacity. The Neural ODE has sufficient parameters to memorize the entire training set (which it nearly does, with train loss &lt; 0.001). The bottleneck is the quality and consistency of the training signal.</w:t>
      </w:r>
    </w:p>
    <w:p>
      <w:pPr>
        <w:pStyle w:val="BodyText"/>
      </w:pPr>
      <w:r>
        <w:t xml:space="preserve">Three specific data issues limit accuracy:</w:t>
      </w:r>
    </w:p>
    <w:p>
      <w:pPr>
        <w:numPr>
          <w:ilvl w:val="0"/>
          <w:numId w:val="1004"/>
        </w:numPr>
      </w:pPr>
      <w:r>
        <w:rPr>
          <w:b/>
          <w:bCs/>
        </w:rPr>
        <w:t xml:space="preserve">Measurement method bias</w:t>
      </w:r>
      <w:r>
        <w:t xml:space="preserve">: The same specimen gives different RA fractions depending on whether XRD, EBSD, or neutron diffraction is used. This introduces a systematic noise floor that no model can eliminate by training harder.</w:t>
      </w:r>
    </w:p>
    <w:p>
      <w:pPr>
        <w:numPr>
          <w:ilvl w:val="0"/>
          <w:numId w:val="1004"/>
        </w:numPr>
      </w:pPr>
      <w:r>
        <w:rPr>
          <w:b/>
          <w:bCs/>
        </w:rPr>
        <w:t xml:space="preserve">Missing covariates</w:t>
      </w:r>
      <w:r>
        <w:t xml:space="preserve">: The starting microstructure (grain size, dislocation density, prior Mn distribution) strongly affects reversion kinetics but is not quantified in most studies. The model has no way to distinguish between two samples with the same nominal composition but different processing histories.</w:t>
      </w:r>
    </w:p>
    <w:p>
      <w:pPr>
        <w:numPr>
          <w:ilvl w:val="0"/>
          <w:numId w:val="1004"/>
        </w:numPr>
      </w:pPr>
      <w:r>
        <w:rPr>
          <w:b/>
          <w:bCs/>
        </w:rPr>
        <w:t xml:space="preserve">Digitization uncertainty</w:t>
      </w:r>
      <w:r>
        <w:t xml:space="preserve">: 66% of our data points come from digitized figures with estimated +/-2-5% uncertainty. This compounds with the measurement method bias.</w:t>
      </w:r>
    </w:p>
    <w:bookmarkEnd w:id="29"/>
    <w:bookmarkStart w:id="30" w:name="why-this-matters-for-the-field"/>
    <w:p>
      <w:pPr>
        <w:pStyle w:val="Heading3"/>
      </w:pPr>
      <w:r>
        <w:t xml:space="preserve">5.2 Why this matters for the field</w:t>
      </w:r>
    </w:p>
    <w:p>
      <w:pPr>
        <w:pStyle w:val="FirstParagraph"/>
      </w:pPr>
      <w:r>
        <w:t xml:space="preserve">The medium-Mn steel community has published extensively on austenite reversion, but the data is not ML-ready. Each study uses its own protocols, measurements, and reporting formats. Until the community adopts standardized reporting (e.g., always including XRD parameters, always reporting vol%, always specifying initial microstructure quantitatively), data-driven models will hit the same ceiling we observe here.</w:t>
      </w:r>
    </w:p>
    <w:p>
      <w:pPr>
        <w:pStyle w:val="BodyText"/>
      </w:pPr>
      <w:r>
        <w:t xml:space="preserve">This is not a criticism of individual studies - they were designed for traditional metallurgical analysis, not for ML consumption. But it means that simply</w:t>
      </w:r>
      <w:r>
        <w:t xml:space="preserve"> </w:t>
      </w:r>
      <w:r>
        <w:t xml:space="preserve">“collecting more data from literature”</w:t>
      </w:r>
      <w:r>
        <w:t xml:space="preserve"> </w:t>
      </w:r>
      <w:r>
        <w:t xml:space="preserve">will not improve model accuracy. The next step requires either:</w:t>
      </w:r>
      <w:r>
        <w:t xml:space="preserve"> </w:t>
      </w:r>
      <w:r>
        <w:t xml:space="preserve">- Standardized experimental protocols for RA measurement reporting</w:t>
      </w:r>
      <w:r>
        <w:t xml:space="preserve"> </w:t>
      </w:r>
      <w:r>
        <w:t xml:space="preserve">- A dedicated experimental campaign with controlled compositions and conditions</w:t>
      </w:r>
      <w:r>
        <w:t xml:space="preserve"> </w:t>
      </w:r>
      <w:r>
        <w:t xml:space="preserve">- Active learning approaches that identify the most informative experiments to run</w:t>
      </w:r>
    </w:p>
    <w:bookmarkEnd w:id="30"/>
    <w:bookmarkStart w:id="31" w:name="honest-assessment"/>
    <w:p>
      <w:pPr>
        <w:pStyle w:val="Heading3"/>
      </w:pPr>
      <w:r>
        <w:t xml:space="preserve">5.3 Honest assessment</w:t>
      </w:r>
    </w:p>
    <w:p>
      <w:pPr>
        <w:pStyle w:val="FirstParagraph"/>
      </w:pPr>
      <w:r>
        <w:t xml:space="preserve">This model should not be used for production alloy design without experimental verification. Backend validation shows MAE = 0.138 with individual errors up to 0.363, so predictions for compositions outside the well-represented training range (Fe-5-9Mn, 0.05-0.20C) should be treated as approximate.</w:t>
      </w:r>
    </w:p>
    <w:p>
      <w:pPr>
        <w:pStyle w:val="BodyText"/>
      </w:pPr>
      <w:r>
        <w:t xml:space="preserve">The model’s practical value is as a screening tool for narrowing down promising composition-temperature combinations before running experiments. Its scientific value is in demonstrating that thermodynamic feature quality is the dominant factor for this class of kinetics model.</w:t>
      </w:r>
    </w:p>
    <w:p>
      <w:r>
        <w:pict>
          <v:rect style="width:0;height:1.5pt" o:hralign="center" o:hrstd="t" o:hr="t"/>
        </w:pict>
      </w:r>
    </w:p>
    <w:bookmarkEnd w:id="31"/>
    <w:bookmarkEnd w:id="32"/>
    <w:bookmarkStart w:id="33" w:name="conclusions"/>
    <w:p>
      <w:pPr>
        <w:pStyle w:val="Heading2"/>
      </w:pPr>
      <w:r>
        <w:t xml:space="preserve">6. Conclusions</w:t>
      </w:r>
    </w:p>
    <w:p>
      <w:pPr>
        <w:numPr>
          <w:ilvl w:val="0"/>
          <w:numId w:val="1005"/>
        </w:numPr>
      </w:pPr>
      <w:r>
        <w:t xml:space="preserve">A physics-constrained latent Neural ODE was developed for predicting austenite reversion kinetics in medium-Mn steels, trained on 125 data points from 25 published studies.</w:t>
      </w:r>
    </w:p>
    <w:p>
      <w:pPr>
        <w:numPr>
          <w:ilvl w:val="0"/>
          <w:numId w:val="1005"/>
        </w:numPr>
      </w:pPr>
      <w:r>
        <w:t xml:space="preserve">Recalibrating the thermodynamic input functions (Ac1 correlation and equilibrium RA fraction) reduced test RMSE from 0.312 to 0.131, a 58% improvement, without changing the model architecture.</w:t>
      </w:r>
    </w:p>
    <w:p>
      <w:pPr>
        <w:numPr>
          <w:ilvl w:val="0"/>
          <w:numId w:val="1005"/>
        </w:numPr>
      </w:pPr>
      <w:r>
        <w:t xml:space="preserve">The original val-test gap (0.212 vs 0.312) was primarily caused by thermodynamic input errors. After recalibration and retraining, the gap collapsed to ~0.03.</w:t>
      </w:r>
    </w:p>
    <w:p>
      <w:pPr>
        <w:numPr>
          <w:ilvl w:val="0"/>
          <w:numId w:val="1005"/>
        </w:numPr>
      </w:pPr>
      <w:r>
        <w:t xml:space="preserve">Backend validation against 10 independent literature cases gives MAE = 0.138 and RMSE = 0.173. The remaining errors trace to Ac1 overestimation in Al-containing steels, measurement method bias, and missing microstructure covariates.</w:t>
      </w:r>
    </w:p>
    <w:p>
      <w:pPr>
        <w:numPr>
          <w:ilvl w:val="0"/>
          <w:numId w:val="1005"/>
        </w:numPr>
      </w:pPr>
      <w:r>
        <w:t xml:space="preserve">The quality of physics-based feature engineering (getting the equilibrium fraction right) matters more for this problem than model architecture or training hyperparameters.</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[1] Gibbs, P.J. et al.,</w:t>
      </w:r>
      <w:r>
        <w:t xml:space="preserve"> </w:t>
      </w:r>
      <w:r>
        <w:t xml:space="preserve">“Austenite Stability Effects on Tensile Behavior of Manganese-Enriched-Austenite Transformation-Induced Plasticity Steel,”</w:t>
      </w:r>
      <w:r>
        <w:t xml:space="preserve"> </w:t>
      </w:r>
      <w:r>
        <w:t xml:space="preserve">Metall. Mater. Trans. A, 42A, 3691-3702 (2011).</w:t>
      </w:r>
    </w:p>
    <w:p>
      <w:pPr>
        <w:pStyle w:val="BodyText"/>
      </w:pPr>
      <w:r>
        <w:t xml:space="preserve">[2] Luo, H. et al.,</w:t>
      </w:r>
      <w:r>
        <w:t xml:space="preserve"> </w:t>
      </w:r>
      <w:r>
        <w:t xml:space="preserve">“Experimental and numerical analysis on formation of stable austenite during the intercritical annealing of 5Mn steel,”</w:t>
      </w:r>
      <w:r>
        <w:t xml:space="preserve"> </w:t>
      </w:r>
      <w:r>
        <w:t xml:space="preserve">Acta Materialia, 59, 4002-4014 (2011).</w:t>
      </w:r>
    </w:p>
    <w:p>
      <w:pPr>
        <w:pStyle w:val="BodyText"/>
      </w:pPr>
      <w:r>
        <w:t xml:space="preserve">[3] De Moor, E. et al.,</w:t>
      </w:r>
      <w:r>
        <w:t xml:space="preserve"> </w:t>
      </w:r>
      <w:r>
        <w:t xml:space="preserve">“Austenite stabilization through manganese enrichment,”</w:t>
      </w:r>
      <w:r>
        <w:t xml:space="preserve"> </w:t>
      </w:r>
      <w:r>
        <w:t xml:space="preserve">Scripta Materialia, 64, 185-188 (2011).</w:t>
      </w:r>
    </w:p>
    <w:p>
      <w:pPr>
        <w:pStyle w:val="BodyText"/>
      </w:pPr>
      <w:r>
        <w:t xml:space="preserve">[4] Lee, S. and De Cooman, B.C.,</w:t>
      </w:r>
      <w:r>
        <w:t xml:space="preserve"> </w:t>
      </w:r>
      <w:r>
        <w:t xml:space="preserve">“On the Selection of the Optimal Intercritical Annealing Temperature for Medium Mn TRIP Steel,”</w:t>
      </w:r>
      <w:r>
        <w:t xml:space="preserve"> </w:t>
      </w:r>
      <w:r>
        <w:t xml:space="preserve">Metall. Mater. Trans. A, 44A, 5018-5024 (2013).</w:t>
      </w:r>
    </w:p>
    <w:p>
      <w:pPr>
        <w:pStyle w:val="BodyText"/>
      </w:pPr>
      <w:r>
        <w:t xml:space="preserve">[5] Nakada, N. et al.,</w:t>
      </w:r>
      <w:r>
        <w:t xml:space="preserve"> </w:t>
      </w:r>
      <w:r>
        <w:t xml:space="preserve">“Difference in transformation behavior between ferrite and austenite formations in medium manganese steel,”</w:t>
      </w:r>
      <w:r>
        <w:t xml:space="preserve"> </w:t>
      </w:r>
      <w:r>
        <w:t xml:space="preserve">Acta Materialia, 65, 251-259 (2014).</w:t>
      </w:r>
    </w:p>
    <w:p>
      <w:pPr>
        <w:pStyle w:val="BodyText"/>
      </w:pPr>
      <w:r>
        <w:t xml:space="preserve">[6] Cai, Z.H. et al.,</w:t>
      </w:r>
      <w:r>
        <w:t xml:space="preserve"> </w:t>
      </w:r>
      <w:r>
        <w:t xml:space="preserve">“Austenite stability and deformation behavior in a cold-rolled transformation-induced plasticity steel with medium manganese content,”</w:t>
      </w:r>
      <w:r>
        <w:t xml:space="preserve"> </w:t>
      </w:r>
      <w:r>
        <w:t xml:space="preserve">Acta Materialia, 84, 229-236 (2015).</w:t>
      </w:r>
    </w:p>
    <w:p>
      <w:pPr>
        <w:pStyle w:val="BodyText"/>
      </w:pPr>
      <w:r>
        <w:t xml:space="preserve">[7] Sun, B. et al.,</w:t>
      </w:r>
      <w:r>
        <w:t xml:space="preserve"> </w:t>
      </w:r>
      <w:r>
        <w:t xml:space="preserve">“Microstructural characteristics and tensile behavior of medium Mn steels,”</w:t>
      </w:r>
      <w:r>
        <w:t xml:space="preserve"> </w:t>
      </w:r>
      <w:r>
        <w:t xml:space="preserve">Acta Materialia, 148, 249-262 (2018).</w:t>
      </w:r>
    </w:p>
    <w:p>
      <w:pPr>
        <w:pStyle w:val="BodyText"/>
      </w:pPr>
      <w:r>
        <w:t xml:space="preserve">[8] Suh, D.-W. and Kim, S.-J.,</w:t>
      </w:r>
      <w:r>
        <w:t xml:space="preserve"> </w:t>
      </w:r>
      <w:r>
        <w:t xml:space="preserve">“Medium Mn transformation-induced plasticity steels: Recent progress and challenges,”</w:t>
      </w:r>
      <w:r>
        <w:t xml:space="preserve"> </w:t>
      </w:r>
      <w:r>
        <w:t xml:space="preserve">Scripta Materialia, 126, 63-67 (2017).</w:t>
      </w:r>
    </w:p>
    <w:p>
      <w:pPr>
        <w:pStyle w:val="BodyText"/>
      </w:pPr>
      <w:r>
        <w:t xml:space="preserve">[9] Chen, R.T.Q. et al.,</w:t>
      </w:r>
      <w:r>
        <w:t xml:space="preserve"> </w:t>
      </w:r>
      <w:r>
        <w:t xml:space="preserve">“Neural Ordinary Differential Equations,”</w:t>
      </w:r>
      <w:r>
        <w:t xml:space="preserve"> </w:t>
      </w:r>
      <w:r>
        <w:t xml:space="preserve">NeurIPS (2018).</w:t>
      </w:r>
    </w:p>
    <w:p>
      <w:pPr>
        <w:pStyle w:val="BodyText"/>
      </w:pPr>
      <w:r>
        <w:t xml:space="preserve">[10] Raissi, M. et al.,</w:t>
      </w:r>
      <w:r>
        <w:t xml:space="preserve"> </w:t>
      </w:r>
      <w:r>
        <w:t xml:space="preserve">“Physics-informed neural networks,”</w:t>
      </w:r>
      <w:r>
        <w:t xml:space="preserve"> </w:t>
      </w:r>
      <w:r>
        <w:t xml:space="preserve">J. Comput. Phys., 378, 686-707 (2019).</w:t>
      </w:r>
    </w:p>
    <w:p>
      <w:r>
        <w:pict>
          <v:rect style="width:0;height:1.5pt" o:hralign="center" o:hrstd="t" o:hr="t"/>
        </w:pict>
      </w:r>
    </w:p>
    <w:bookmarkEnd w:id="34"/>
    <w:bookmarkStart w:id="35" w:name="appendix-a-full-dataset-provenance-table"/>
    <w:p>
      <w:pPr>
        <w:pStyle w:val="Heading2"/>
      </w:pPr>
      <w:r>
        <w:t xml:space="preserve">Appendix A: Full Dataset Provenance Table</w:t>
      </w:r>
    </w:p>
    <w:p>
      <w:pPr>
        <w:pStyle w:val="FirstParagraph"/>
      </w:pPr>
      <w:r>
        <w:t xml:space="preserve">The complete dataset with all 125 observations, DOIs, source references, measurement methods, and data quality flags is provided in</w:t>
      </w:r>
      <w:r>
        <w:t xml:space="preserve"> </w:t>
      </w:r>
      <w:r>
        <w:rPr>
          <w:rStyle w:val="VerbatimChar"/>
        </w:rPr>
        <w:t xml:space="preserve">data/literature_validation/literature_validation.csv</w:t>
      </w:r>
      <w:r>
        <w:t xml:space="preserve">.</w:t>
      </w:r>
    </w:p>
    <w:bookmarkEnd w:id="35"/>
    <w:bookmarkStart w:id="36" w:name="appendix-b-training-logs"/>
    <w:p>
      <w:pPr>
        <w:pStyle w:val="Heading2"/>
      </w:pPr>
      <w:r>
        <w:t xml:space="preserve">Appendix B: Training Logs</w:t>
      </w:r>
    </w:p>
    <w:p>
      <w:pPr>
        <w:pStyle w:val="FirstParagraph"/>
      </w:pPr>
      <w:r>
        <w:t xml:space="preserve">Full training histories for all 8 Kaggle runs (including the retrain with corrected thermodynamics) are archived in</w:t>
      </w:r>
      <w:r>
        <w:t xml:space="preserve"> </w:t>
      </w:r>
      <w:r>
        <w:rPr>
          <w:rStyle w:val="VerbatimChar"/>
        </w:rPr>
        <w:t xml:space="preserve">kaggle/runs/</w:t>
      </w:r>
      <w:r>
        <w:t xml:space="preserve"> </w:t>
      </w:r>
      <w:r>
        <w:t xml:space="preserve">with notebooks, logs, and result artifacts.</w:t>
      </w:r>
    </w:p>
    <w:bookmarkEnd w:id="36"/>
    <w:bookmarkStart w:id="37" w:name="appendix-c-model-checkpoints"/>
    <w:p>
      <w:pPr>
        <w:pStyle w:val="Heading2"/>
      </w:pPr>
      <w:r>
        <w:t xml:space="preserve">Appendix C: Model Checkpoints</w:t>
      </w:r>
    </w:p>
    <w:p>
      <w:pPr>
        <w:pStyle w:val="FirstParagraph"/>
      </w:pPr>
      <w:r>
        <w:t xml:space="preserve">All trained model weights are available in</w:t>
      </w:r>
      <w:r>
        <w:t xml:space="preserve"> </w:t>
      </w:r>
      <w:r>
        <w:rPr>
          <w:rStyle w:val="VerbatimChar"/>
        </w:rPr>
        <w:t xml:space="preserve">models/</w:t>
      </w:r>
      <w:r>
        <w:t xml:space="preserve"> </w:t>
      </w:r>
      <w:r>
        <w:t xml:space="preserve">including the stage 1 baseline (epoch 109) and the retrained stage 2 best model (</w:t>
      </w:r>
      <w:r>
        <w:rPr>
          <w:rStyle w:val="VerbatimChar"/>
        </w:rPr>
        <w:t xml:space="preserve">stage2_fixed_best.pt</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Physics-Constrained Latent Neural ODE for Austenite Reversion Kinetics in Medium-Mn Steels</dc:title>
  <dc:creator/>
  <cp:keywords/>
  <dcterms:created xsi:type="dcterms:W3CDTF">2026-04-28T09:21:30Z</dcterms:created>
  <dcterms:modified xsi:type="dcterms:W3CDTF">2026-04-28T09:21:30Z</dcterms:modified>
</cp:coreProperties>
</file>

<file path=docProps/custom.xml><?xml version="1.0" encoding="utf-8"?>
<Properties xmlns="http://schemas.openxmlformats.org/officeDocument/2006/custom-properties" xmlns:vt="http://schemas.openxmlformats.org/officeDocument/2006/docPropsVTypes"/>
</file>