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fa07a83f5331aecf0632a2369db05a809b4b8d7"/>
    <w:p>
      <w:pPr>
        <w:pStyle w:val="Heading1"/>
        <w:keepNext/>
        <w:spacing w:before="120" w:after="40" w:line="240" w:lineRule="auto"/>
      </w:pPr>
      <w:r>
        <w:t xml:space="preserve">E2 Speaking &amp; Listening – Exam Prep Lesson 11: Listening to everyday conversations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2-11a-everyday-conversations"/>
    <w:p>
      <w:pPr>
        <w:pStyle w:val="Heading2"/>
        <w:keepNext/>
        <w:spacing w:before="840" w:after="40" w:line="240" w:lineRule="auto"/>
      </w:pPr>
      <w:r>
        <w:t xml:space="preserve">Handout E2-11A: Everyday conversations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Listen and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Conversation 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Has the customer got a stomach ache?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How many tablets does she take now?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How much are they?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Conversation 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Are they going to meet in the morning?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time are they going to meet?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Where are they going to meet?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Rebuild a conversation from the prompts.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Prompts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Pharmacy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problem / taken anything? / how many? / price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Two friends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invite / busy / new time / place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College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join a class / studied before? / test day / what to bring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Café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order / sorry, run out / new choice / price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Discussion questions.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What do you do when you feel ill?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Where do you like to meet friends? Why?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Was it easy to join this college? What happened?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you prefer to eat at home or in a café? Why?</w: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2026-10-26T16:13:17Z</dcterms:created>
  <dcterms:modified xsi:type="dcterms:W3CDTF">2026-10-26T16:13:17Z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