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60"/>
      </w:pPr>
      <w:r>
        <w:rPr>
          <w:rFonts w:ascii="Liberation Sans" w:hAnsi="Liberation Sans" w:eastAsia="Liberation Sans"/>
          <w:b/>
          <w:i w:val="0"/>
          <w:color w:val="D99024"/>
          <w:sz w:val="32"/>
        </w:rPr>
        <w:t>ADR-AOS-2026-001</w:t>
      </w:r>
    </w:p>
    <w:p>
      <w:pPr>
        <w:spacing w:after="160"/>
      </w:pPr>
      <w:r>
        <w:rPr>
          <w:rFonts w:ascii="Liberation Sans" w:hAnsi="Liberation Sans" w:eastAsia="Liberation Sans"/>
          <w:b/>
          <w:i w:val="0"/>
          <w:color w:val="0B2A3D"/>
          <w:sz w:val="54"/>
        </w:rPr>
        <w:t>AOS Environmental</w:t>
      </w:r>
    </w:p>
    <w:p>
      <w:pPr>
        <w:spacing w:after="360"/>
        <w:pBdr>
          <w:bottom w:val="single" w:sz="14" w:space="8" w:color="D99024"/>
        </w:pBdr>
      </w:pPr>
      <w:r>
        <w:rPr>
          <w:rFonts w:ascii="Liberation Sans" w:hAnsi="Liberation Sans" w:eastAsia="Liberation Sans"/>
          <w:b/>
          <w:i w:val="0"/>
          <w:color w:val="1E5A85"/>
          <w:sz w:val="34"/>
        </w:rPr>
        <w:t>Banco de trabajo independiente y transversal</w:t>
      </w:r>
    </w:p>
    <w:p>
      <w:pPr>
        <w:spacing w:after="280"/>
      </w:pPr>
      <w:r>
        <w:rPr>
          <w:rFonts w:ascii="Liberation Sans" w:hAnsi="Liberation Sans" w:eastAsia="Liberation Sans"/>
          <w:b w:val="0"/>
          <w:i/>
          <w:color w:val="51616C"/>
          <w:sz w:val="22"/>
        </w:rPr>
        <w:t>Registro formal de decisión de arquitectura para AOS Suite 0.2.0 DEV1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DE3"/>
          <w:left w:val="single" w:sz="6" w:space="0" w:color="D5DDE3"/>
          <w:bottom w:val="single" w:sz="6" w:space="0" w:color="D5DDE3"/>
          <w:right w:val="single" w:sz="6" w:space="0" w:color="D5DDE3"/>
          <w:insideH w:val="single" w:sz="6" w:space="0" w:color="D5DDE3"/>
          <w:insideV w:val="single" w:sz="6" w:space="0" w:color="D5DDE3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0B2A3D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6840"/>
            <w:shd w:fill="0B2A3D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9"/>
              </w:rPr>
              <w:t>Decisión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b/>
                <w:i w:val="0"/>
                <w:sz w:val="19"/>
              </w:rPr>
              <w:t>Estado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sz w:val="19"/>
              </w:rPr>
              <w:t>ACEPTADA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A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b/>
                <w:i w:val="0"/>
                <w:sz w:val="19"/>
              </w:rPr>
              <w:t>Fecha efectiva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A"/>
          </w:tcPr>
          <w:p>
            <w:pPr>
              <w:spacing w:after="0" w:line="247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sz w:val="19"/>
              </w:rPr>
              <w:t>31 de julio de 2026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b/>
                <w:i w:val="0"/>
                <w:sz w:val="19"/>
              </w:rPr>
              <w:t>Baseline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7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sz w:val="19"/>
              </w:rPr>
              <w:t>AOS Suite 0.2.0 DEV1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A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b/>
                <w:i w:val="0"/>
                <w:sz w:val="19"/>
              </w:rPr>
              <w:t>Revisión de arquitectura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A"/>
          </w:tcPr>
          <w:p>
            <w:pPr>
              <w:spacing w:after="0" w:line="247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sz w:val="19"/>
              </w:rPr>
              <w:t>ENV-01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b/>
                <w:i w:val="0"/>
                <w:sz w:val="19"/>
              </w:rPr>
              <w:t>Propietario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b w:val="0"/>
                <w:i w:val="0"/>
                <w:sz w:val="19"/>
              </w:rPr>
              <w:t>Architecture Owner de AOS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A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b/>
                <w:i w:val="0"/>
                <w:sz w:val="19"/>
              </w:rPr>
              <w:t>Runtime en esta enmienda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A"/>
          </w:tcPr>
          <w:p>
            <w:pPr>
              <w:spacing w:after="0" w:line="247" w:lineRule="auto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sz w:val="19"/>
              </w:rPr>
              <w:t>Sin cambios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b/>
                <w:i w:val="0"/>
                <w:sz w:val="19"/>
              </w:rPr>
              <w:t>Compatibilidad</w:t>
            </w:r>
          </w:p>
        </w:tc>
        <w:tc>
          <w:tcPr>
            <w:tcW w:type="dxa" w:w="6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b w:val="0"/>
                <w:i w:val="0"/>
                <w:sz w:val="19"/>
              </w:rPr>
              <w:t>AMBIENTAL y AOS_menu_gestion_ambiental como alias heredados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2"/>
        <w:gridCol w:w="9576"/>
      </w:tblGrid>
      <w:tr>
        <w:tc>
          <w:tcPr>
            <w:tcW w:type="dxa" w:w="4997"/>
            <w:shd w:fill="1E5A8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4997"/>
            <w:shd w:fill="E8F2F7"/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pPr>
              <w:spacing w:after="80"/>
            </w:pPr>
            <w:r>
              <w:rPr>
                <w:rFonts w:ascii="Liberation Sans" w:hAnsi="Liberation Sans" w:eastAsia="Liberation Sans"/>
                <w:b/>
                <w:i w:val="0"/>
                <w:color w:val="1E5A85"/>
                <w:sz w:val="23"/>
              </w:rPr>
              <w:t>DECISIÓN DE ARQUITECTURA</w:t>
            </w:r>
          </w:p>
          <w:p>
            <w:pPr>
              <w:spacing w:after="0" w:line="264" w:lineRule="auto"/>
            </w:pPr>
            <w:r>
              <w:rPr>
                <w:rFonts w:ascii="Liberation Sans" w:hAnsi="Liberation Sans" w:eastAsia="Liberation Sans"/>
                <w:b w:val="0"/>
                <w:i w:val="0"/>
                <w:sz w:val="21"/>
              </w:rPr>
              <w:t>Se crea y reconoce formalmente AOS Environmental como banco de trabajo propio, independiente y transversal. AOSCAD y AOS 3D Core mantienen la autoridad sobre identidad, ubicación, geometría y topología; AOS Environmental mantiene la autoridad sobre fuentes, eventos, mediciones, cálculos, inventarios, riesgo, mitigación y cierre ambiental.</w:t>
            </w:r>
          </w:p>
        </w:tc>
      </w:tr>
    </w:tbl>
    <w:p>
      <w:pPr>
        <w:spacing w:before="240" w:after="60"/>
      </w:pPr>
      <w:r>
        <w:rPr>
          <w:rFonts w:ascii="Liberation Sans" w:hAnsi="Liberation Sans" w:eastAsia="Liberation Sans"/>
          <w:b/>
          <w:i w:val="0"/>
          <w:color w:val="0B8C8C"/>
          <w:sz w:val="22"/>
        </w:rPr>
        <w:t>Orden objetivo de la cinta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1E6"/>
          <w:left w:val="single" w:sz="4" w:space="0" w:color="D9E1E6"/>
          <w:bottom w:val="single" w:sz="4" w:space="0" w:color="D9E1E6"/>
          <w:right w:val="single" w:sz="4" w:space="0" w:color="D9E1E6"/>
          <w:insideH w:val="single" w:sz="4" w:space="0" w:color="D9E1E6"/>
          <w:insideV w:val="single" w:sz="4" w:space="0" w:color="D9E1E6"/>
        </w:tblBorders>
      </w:tblPr>
      <w:tblGrid>
        <w:gridCol w:w="9994"/>
      </w:tblGrid>
      <w:tr>
        <w:tc>
          <w:tcPr>
            <w:tcW w:type="dxa" w:w="9994"/>
            <w:shd w:fill="F2F4F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23313A"/>
                <w:sz w:val="19"/>
              </w:rPr>
              <w:t>AOS SCADA  -&gt;  AOS ENVIRONMENTAL  -&gt;  AOS MAINTENANCE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3313A"/>
                <w:sz w:val="19"/>
              </w:rPr>
              <w:t>AOS Viewer permanece como ultimo banco visible.</w:t>
            </w:r>
          </w:p>
        </w:tc>
      </w:tr>
    </w:tbl>
    <w:p>
      <w:pPr>
        <w:spacing w:after="0"/>
      </w:pPr>
    </w:p>
    <w:p>
      <w:pPr>
        <w:spacing w:before="160" w:after="0"/>
      </w:pPr>
      <w:r>
        <w:rPr>
          <w:rFonts w:ascii="Liberation Sans" w:hAnsi="Liberation Sans" w:eastAsia="Liberation Sans"/>
          <w:b/>
          <w:i w:val="0"/>
          <w:color w:val="687780"/>
          <w:sz w:val="18"/>
        </w:rPr>
        <w:t xml:space="preserve">Clasificación: </w:t>
      </w:r>
      <w:r>
        <w:rPr>
          <w:rFonts w:ascii="Liberation Sans" w:hAnsi="Liberation Sans" w:eastAsia="Liberation Sans"/>
          <w:b w:val="0"/>
          <w:i w:val="0"/>
          <w:color w:val="687780"/>
          <w:sz w:val="18"/>
        </w:rPr>
        <w:t>Uso interno técnico y de desarrollo</w:t>
      </w:r>
    </w:p>
    <w:p>
      <w:r>
        <w:br w:type="page"/>
      </w:r>
    </w:p>
    <w:p>
      <w:pPr>
        <w:pStyle w:val="Heading1"/>
        <w:keepNext/>
        <w:spacing w:before="300" w:after="140"/>
        <w:pBdr>
          <w:bottom w:val="single" w:sz="6" w:space="5" w:color="8CAFC4"/>
        </w:pBdr>
      </w:pPr>
      <w:r>
        <w:rPr>
          <w:rFonts w:ascii="Liberation Sans" w:hAnsi="Liberation Sans" w:eastAsia="Liberation Sans"/>
          <w:b/>
          <w:i w:val="0"/>
          <w:color w:val="0B2A3D"/>
          <w:sz w:val="32"/>
        </w:rPr>
        <w:t>1. Contexto</w:t>
      </w:r>
    </w:p>
    <w:p>
      <w:pPr>
        <w:widowControl/>
        <w:spacing w:after="120" w:line="269" w:lineRule="auto"/>
      </w:pPr>
      <w:r>
        <w:rPr>
          <w:rFonts w:ascii="Liberation Sans" w:hAnsi="Liberation Sans" w:eastAsia="Liberation Sans"/>
          <w:b w:val="0"/>
          <w:i w:val="0"/>
        </w:rPr>
        <w:t>En AOS 0.1.9 y en la primera documentación de AOS 0.2.0 DEV1, Gestión Ambiental quedó visible principalmente como una opción de AOS Maintenance y como componente HSE del score de pulling. Esa clasificación no representa el alcance requerido.</w:t>
      </w:r>
    </w:p>
    <w:p>
      <w:pPr>
        <w:widowControl/>
        <w:spacing w:after="120" w:line="269" w:lineRule="auto"/>
      </w:pPr>
      <w:r>
        <w:rPr>
          <w:rFonts w:ascii="Liberation Sans" w:hAnsi="Liberation Sans" w:eastAsia="Liberation Sans"/>
          <w:b w:val="0"/>
          <w:i w:val="0"/>
        </w:rPr>
        <w:t>El dominio ambiental debe administrar eventos e inventarios que atraviesan toda la instalación: derrames, emisiones fugitivas de metano, emisiones de CO₂, liberaciones de H₂S, venteos, flare, combustión, agua producida, residuos, sustancias químicas, riesgo, mitigación, cumplimiento y emisiones indirectas asociadas al consumo de energía.</w:t>
      </w:r>
    </w:p>
    <w:p>
      <w:pPr>
        <w:widowControl/>
        <w:spacing w:after="120" w:line="269" w:lineRule="auto"/>
      </w:pPr>
      <w:r>
        <w:rPr>
          <w:rFonts w:ascii="Liberation Sans" w:hAnsi="Liberation Sans" w:eastAsia="Liberation Sans"/>
          <w:b w:val="0"/>
          <w:i w:val="0"/>
        </w:rPr>
        <w:t>La ubicación física es parte esencial del dato. Una pérdida debe vincularse inequívocamente con una válvula, sello, brida, tramo de tubería, tanque, batería, equipo, pozo u otro activo. AOSCAD, AOSBCK y AOS 3D Core ya establecen la identidad y la representación espacial mediante asset_id, component_id, instance_id, topología y coordenadas.</w:t>
      </w:r>
    </w:p>
    <w:p>
      <w:pPr>
        <w:widowControl/>
        <w:spacing w:after="120" w:line="269" w:lineRule="auto"/>
      </w:pPr>
      <w:r>
        <w:rPr>
          <w:rFonts w:ascii="Liberation Sans" w:hAnsi="Liberation Sans" w:eastAsia="Liberation Sans"/>
          <w:b w:val="0"/>
          <w:i w:val="0"/>
        </w:rPr>
        <w:t>El estado mecánico y la integridad influyen directamente en la probabilidad de pérdida. La consecuencia ambiental, el inventario emitido, la exposición, la criticidad, el seguimiento y la verificación de mitigaciones pertenecen a un dominio distinto. Las emisiones indirectas por energía atraviesan SLA, Electrical, Facilities, Networks y demás consumidores, y requieren una metodología única para evitar factores divergentes y doble conteo.</w:t>
      </w:r>
    </w:p>
    <w:p>
      <w:pPr>
        <w:pStyle w:val="Heading1"/>
        <w:keepNext/>
        <w:spacing w:before="300" w:after="140"/>
        <w:pBdr>
          <w:bottom w:val="single" w:sz="6" w:space="5" w:color="8CAFC4"/>
        </w:pBdr>
      </w:pPr>
      <w:r>
        <w:rPr>
          <w:rFonts w:ascii="Liberation Sans" w:hAnsi="Liberation Sans" w:eastAsia="Liberation Sans"/>
          <w:b/>
          <w:i w:val="0"/>
          <w:color w:val="0B2A3D"/>
          <w:sz w:val="32"/>
        </w:rPr>
        <w:t>2. Decisión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2"/>
        <w:gridCol w:w="9576"/>
      </w:tblGrid>
      <w:tr>
        <w:tc>
          <w:tcPr>
            <w:tcW w:type="dxa" w:w="4997"/>
            <w:shd w:fill="0B8C8C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4997"/>
            <w:shd w:fill="E8F5F3"/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pPr>
              <w:spacing w:after="80"/>
            </w:pPr>
            <w:r>
              <w:rPr>
                <w:rFonts w:ascii="Liberation Sans" w:hAnsi="Liberation Sans" w:eastAsia="Liberation Sans"/>
                <w:b/>
                <w:i w:val="0"/>
                <w:color w:val="0B8C8C"/>
                <w:sz w:val="23"/>
              </w:rPr>
              <w:t>DECISIÓN ACEPTADA</w:t>
            </w:r>
          </w:p>
          <w:p>
            <w:pPr>
              <w:spacing w:after="0" w:line="264" w:lineRule="auto"/>
            </w:pPr>
            <w:r>
              <w:rPr>
                <w:rFonts w:ascii="Liberation Sans" w:hAnsi="Liberation Sans" w:eastAsia="Liberation Sans"/>
                <w:b w:val="0"/>
                <w:i w:val="0"/>
                <w:sz w:val="21"/>
              </w:rPr>
              <w:t>AOS Environmental será un banco de trabajo propio. No será una función interna de Maintenance ni un sinónimo del score ambiental/HSE de Pulling Intelligence.</w:t>
            </w:r>
          </w:p>
        </w:tc>
      </w:tr>
    </w:tbl>
    <w:p>
      <w:pPr>
        <w:widowControl/>
        <w:spacing w:after="120" w:line="269" w:lineRule="auto"/>
      </w:pPr>
      <w:r>
        <w:rPr>
          <w:rFonts w:ascii="Liberation Sans" w:hAnsi="Liberation Sans" w:eastAsia="Liberation Sans"/>
          <w:b w:val="0"/>
          <w:i w:val="0"/>
        </w:rPr>
        <w:t>Identificadores objetivo: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1E6"/>
          <w:left w:val="single" w:sz="4" w:space="0" w:color="D9E1E6"/>
          <w:bottom w:val="single" w:sz="4" w:space="0" w:color="D9E1E6"/>
          <w:right w:val="single" w:sz="4" w:space="0" w:color="D9E1E6"/>
          <w:insideH w:val="single" w:sz="4" w:space="0" w:color="D9E1E6"/>
          <w:insideV w:val="single" w:sz="4" w:space="0" w:color="D9E1E6"/>
        </w:tblBorders>
      </w:tblPr>
      <w:tblGrid>
        <w:gridCol w:w="9994"/>
      </w:tblGrid>
      <w:tr>
        <w:tc>
          <w:tcPr>
            <w:tcW w:type="dxa" w:w="9994"/>
            <w:shd w:fill="F2F4F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23313A"/>
                <w:sz w:val="20"/>
              </w:rPr>
              <w:t>workbench_id = ENVIRONMENTAL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3313A"/>
                <w:sz w:val="20"/>
              </w:rPr>
              <w:t>name         = AOS Environmental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3313A"/>
                <w:sz w:val="20"/>
              </w:rPr>
              <w:t>module_alias = AMBIENTAL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3313A"/>
                <w:sz w:val="20"/>
              </w:rPr>
              <w:t>state        = ROADMAP_ARCHITECTURE_APPROVED</w:t>
            </w:r>
          </w:p>
        </w:tc>
      </w:tr>
    </w:tbl>
    <w:p>
      <w:pPr>
        <w:spacing w:after="0"/>
      </w:pPr>
    </w:p>
    <w:p>
      <w:pPr>
        <w:widowControl/>
        <w:spacing w:after="120" w:line="269" w:lineRule="auto"/>
      </w:pPr>
      <w:r>
        <w:rPr>
          <w:rFonts w:ascii="Liberation Sans" w:hAnsi="Liberation Sans" w:eastAsia="Liberation Sans"/>
          <w:b w:val="0"/>
          <w:i w:val="0"/>
        </w:rPr>
        <w:t>El alias AMBIENTAL se conserva para compatibilidad con menús, datos y registros históricos. El entrypoint objetivo será AOS_menu_environmental. Mientras no se implemente, AOS_menu_gestion_ambiental continúa como acceso heredado.</w:t>
      </w:r>
    </w:p>
    <w:p>
      <w:pPr>
        <w:widowControl/>
        <w:spacing w:after="120" w:line="269" w:lineRule="auto"/>
      </w:pPr>
      <w:r>
        <w:rPr>
          <w:rFonts w:ascii="Liberation Sans" w:hAnsi="Liberation Sans" w:eastAsia="Liberation Sans"/>
          <w:b w:val="0"/>
          <w:i w:val="0"/>
        </w:rPr>
        <w:t>El orden objetivo en la cinta y en el futuro menú 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1E6"/>
          <w:left w:val="single" w:sz="4" w:space="0" w:color="D9E1E6"/>
          <w:bottom w:val="single" w:sz="4" w:space="0" w:color="D9E1E6"/>
          <w:right w:val="single" w:sz="4" w:space="0" w:color="D9E1E6"/>
          <w:insideH w:val="single" w:sz="4" w:space="0" w:color="D9E1E6"/>
          <w:insideV w:val="single" w:sz="4" w:space="0" w:color="D9E1E6"/>
        </w:tblBorders>
      </w:tblPr>
      <w:tblGrid>
        <w:gridCol w:w="9994"/>
      </w:tblGrid>
      <w:tr>
        <w:tc>
          <w:tcPr>
            <w:tcW w:type="dxa" w:w="9994"/>
            <w:shd w:fill="F2F4F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23313A"/>
                <w:sz w:val="20"/>
              </w:rPr>
              <w:t>AOS SCADA -&gt; AOS ENVIRONMENTAL -&gt; AOS MAINTENANCE</w:t>
            </w:r>
          </w:p>
        </w:tc>
      </w:tr>
    </w:tbl>
    <w:p>
      <w:pPr>
        <w:spacing w:after="0"/>
      </w:pPr>
    </w:p>
    <w:p>
      <w:pPr>
        <w:widowControl/>
        <w:spacing w:after="120" w:line="269" w:lineRule="auto"/>
      </w:pPr>
      <w:r>
        <w:rPr>
          <w:rFonts w:ascii="Liberation Sans" w:hAnsi="Liberation Sans" w:eastAsia="Liberation Sans"/>
          <w:b w:val="0"/>
          <w:i w:val="0"/>
        </w:rPr>
        <w:t>AOS Viewer permanece como último banco visible.</w:t>
      </w:r>
    </w:p>
    <w:p>
      <w:pPr>
        <w:pStyle w:val="Heading1"/>
        <w:keepNext/>
        <w:spacing w:before="300" w:after="140"/>
        <w:pBdr>
          <w:bottom w:val="single" w:sz="6" w:space="5" w:color="8CAFC4"/>
        </w:pBdr>
      </w:pPr>
      <w:r>
        <w:rPr>
          <w:rFonts w:ascii="Liberation Sans" w:hAnsi="Liberation Sans" w:eastAsia="Liberation Sans"/>
          <w:b/>
          <w:i w:val="0"/>
          <w:color w:val="0B2A3D"/>
          <w:sz w:val="32"/>
        </w:rPr>
        <w:t>3. Responsabilidad central</w:t>
      </w:r>
    </w:p>
    <w:p>
      <w:pPr>
        <w:widowControl/>
        <w:spacing w:after="120" w:line="269" w:lineRule="auto"/>
      </w:pPr>
      <w:r>
        <w:rPr>
          <w:rFonts w:ascii="Liberation Sans" w:hAnsi="Liberation Sans" w:eastAsia="Liberation Sans"/>
          <w:b w:val="0"/>
          <w:i w:val="0"/>
        </w:rPr>
        <w:t>AOS Environmental registra, localiza, cuantifica, evalúa y reporta impactos ambientales asociados a activos físicos y actividades operativas.</w:t>
      </w:r>
    </w:p>
    <w:p>
      <w:pPr>
        <w:pStyle w:val="ListNumber"/>
        <w:spacing w:after="60" w:line="259" w:lineRule="auto"/>
      </w:pPr>
      <w:r>
        <w:rPr>
          <w:rFonts w:ascii="Liberation Sans" w:hAnsi="Liberation Sans" w:eastAsia="Liberation Sans"/>
          <w:b w:val="0"/>
          <w:i w:val="0"/>
        </w:rPr>
        <w:t>Inventario de fuentes ambientales potenciales.</w:t>
      </w:r>
    </w:p>
    <w:p>
      <w:pPr>
        <w:pStyle w:val="ListNumber"/>
        <w:spacing w:after="60" w:line="259" w:lineRule="auto"/>
      </w:pPr>
      <w:r>
        <w:rPr>
          <w:rFonts w:ascii="Liberation Sans" w:hAnsi="Liberation Sans" w:eastAsia="Liberation Sans"/>
          <w:b w:val="0"/>
          <w:i w:val="0"/>
        </w:rPr>
        <w:t>Emisiones fugitivas de CH₄, CO₂, H₂S y especies futuras.</w:t>
      </w:r>
    </w:p>
    <w:p>
      <w:pPr>
        <w:pStyle w:val="ListNumber"/>
        <w:spacing w:after="60" w:line="259" w:lineRule="auto"/>
      </w:pPr>
      <w:r>
        <w:rPr>
          <w:rFonts w:ascii="Liberation Sans" w:hAnsi="Liberation Sans" w:eastAsia="Liberation Sans"/>
          <w:b w:val="0"/>
          <w:i w:val="0"/>
        </w:rPr>
        <w:t>Venteos, flare, purgas, despresurizaciones y combustión.</w:t>
      </w:r>
    </w:p>
    <w:p>
      <w:pPr>
        <w:pStyle w:val="ListNumber"/>
        <w:spacing w:after="60" w:line="259" w:lineRule="auto"/>
      </w:pPr>
      <w:r>
        <w:rPr>
          <w:rFonts w:ascii="Liberation Sans" w:hAnsi="Liberation Sans" w:eastAsia="Liberation Sans"/>
          <w:b w:val="0"/>
          <w:i w:val="0"/>
        </w:rPr>
        <w:t>Derrames y pérdidas de líquidos.</w:t>
      </w:r>
    </w:p>
    <w:p>
      <w:pPr>
        <w:pStyle w:val="ListNumber"/>
        <w:spacing w:after="60" w:line="259" w:lineRule="auto"/>
      </w:pPr>
      <w:r>
        <w:rPr>
          <w:rFonts w:ascii="Liberation Sans" w:hAnsi="Liberation Sans" w:eastAsia="Liberation Sans"/>
          <w:b w:val="0"/>
          <w:i w:val="0"/>
        </w:rPr>
        <w:t>Agua producida, residuos y sustancias químicas.</w:t>
      </w:r>
    </w:p>
    <w:p>
      <w:pPr>
        <w:pStyle w:val="ListNumber"/>
        <w:spacing w:after="60" w:line="259" w:lineRule="auto"/>
      </w:pPr>
      <w:r>
        <w:rPr>
          <w:rFonts w:ascii="Liberation Sans" w:hAnsi="Liberation Sans" w:eastAsia="Liberation Sans"/>
          <w:b w:val="0"/>
          <w:i w:val="0"/>
        </w:rPr>
        <w:t>Actividad energética y emisiones indirectas de CO₂ equivalente.</w:t>
      </w:r>
    </w:p>
    <w:p>
      <w:pPr>
        <w:pStyle w:val="ListNumber"/>
        <w:spacing w:after="60" w:line="259" w:lineRule="auto"/>
      </w:pPr>
      <w:r>
        <w:rPr>
          <w:rFonts w:ascii="Liberation Sans" w:hAnsi="Liberation Sans" w:eastAsia="Liberation Sans"/>
          <w:b w:val="0"/>
          <w:i w:val="0"/>
        </w:rPr>
        <w:t>Mediciones, campañas LDAR, sensores, alarmas y estimaciones.</w:t>
      </w:r>
    </w:p>
    <w:p>
      <w:pPr>
        <w:pStyle w:val="ListNumber"/>
        <w:spacing w:after="60" w:line="259" w:lineRule="auto"/>
      </w:pPr>
      <w:r>
        <w:rPr>
          <w:rFonts w:ascii="Liberation Sans" w:hAnsi="Liberation Sans" w:eastAsia="Liberation Sans"/>
          <w:b w:val="0"/>
          <w:i w:val="0"/>
        </w:rPr>
        <w:t>Riesgo ambiental/HSE, mitigaciones, indicadores y cumplimiento.</w:t>
      </w:r>
    </w:p>
    <w:p>
      <w:pPr>
        <w:pStyle w:val="ListNumber"/>
        <w:spacing w:after="60" w:line="259" w:lineRule="auto"/>
      </w:pPr>
      <w:r>
        <w:rPr>
          <w:rFonts w:ascii="Liberation Sans" w:hAnsi="Liberation Sans" w:eastAsia="Liberation Sans"/>
          <w:b w:val="0"/>
          <w:i w:val="0"/>
        </w:rPr>
        <w:t>Acciones correctivas vinculadas con Maintenance.</w:t>
      </w:r>
    </w:p>
    <w:p>
      <w:pPr>
        <w:pStyle w:val="ListNumber"/>
        <w:spacing w:after="60" w:line="259" w:lineRule="auto"/>
      </w:pPr>
      <w:r>
        <w:rPr>
          <w:rFonts w:ascii="Liberation Sans" w:hAnsi="Liberation Sans" w:eastAsia="Liberation Sans"/>
          <w:b w:val="0"/>
          <w:i w:val="0"/>
        </w:rPr>
        <w:t>Reportes, Viewer y restricciones para AOS Global.</w:t>
      </w:r>
    </w:p>
    <w:p>
      <w:pPr>
        <w:pStyle w:val="Heading1"/>
        <w:keepNext/>
        <w:spacing w:before="300" w:after="140"/>
        <w:pBdr>
          <w:bottom w:val="single" w:sz="6" w:space="5" w:color="8CAFC4"/>
        </w:pBdr>
      </w:pPr>
      <w:r>
        <w:rPr>
          <w:rFonts w:ascii="Liberation Sans" w:hAnsi="Liberation Sans" w:eastAsia="Liberation Sans"/>
          <w:b/>
          <w:i w:val="0"/>
          <w:color w:val="0B2A3D"/>
          <w:sz w:val="32"/>
        </w:rPr>
        <w:t>4. Autoridades de datos y fronteras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DE3"/>
          <w:left w:val="single" w:sz="6" w:space="0" w:color="D5DDE3"/>
          <w:bottom w:val="single" w:sz="6" w:space="0" w:color="D5DDE3"/>
          <w:right w:val="single" w:sz="6" w:space="0" w:color="D5DDE3"/>
          <w:insideH w:val="single" w:sz="6" w:space="0" w:color="D5DDE3"/>
          <w:insideV w:val="single" w:sz="6" w:space="0" w:color="D5DDE3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shd w:fill="0B2A3D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9"/>
              </w:rPr>
              <w:t>Componente</w:t>
            </w:r>
          </w:p>
        </w:tc>
        <w:tc>
          <w:tcPr>
            <w:tcW w:type="dxa" w:w="4680"/>
            <w:shd w:fill="0B2A3D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9"/>
              </w:rPr>
              <w:t>Autoridad / aporte</w:t>
            </w:r>
          </w:p>
        </w:tc>
        <w:tc>
          <w:tcPr>
            <w:tcW w:type="dxa" w:w="2664"/>
            <w:shd w:fill="0B2A3D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keepLines/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9"/>
              </w:rPr>
              <w:t>Frontera obligatoria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47" w:lineRule="auto"/>
            </w:pPr>
            <w:r>
              <w:rPr>
                <w:rFonts w:ascii="Liberation Sans" w:hAnsi="Liberation Sans" w:eastAsia="Liberation Sans"/>
                <w:b/>
                <w:i w:val="0"/>
                <w:sz w:val="17"/>
              </w:rPr>
              <w:t>AOSCAD / AOSBCK / AOS 3D Core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47" w:lineRule="auto"/>
            </w:pPr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Identidad del activo; geometría; ubicación 2D/3D; topología y conectividad; puertos, nodos, tramos e instancias; selección y representación visual.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47" w:lineRule="auto"/>
            </w:pPr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No calculan emisiones, consecuencias ni riesgo ambiental.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A"/>
          </w:tcPr>
          <w:p>
            <w:pPr>
              <w:keepLines/>
              <w:spacing w:after="0" w:line="247" w:lineRule="auto"/>
            </w:pPr>
            <w:r>
              <w:rPr>
                <w:rFonts w:ascii="Liberation Sans" w:hAnsi="Liberation Sans" w:eastAsia="Liberation Sans"/>
                <w:b/>
                <w:i w:val="0"/>
                <w:sz w:val="17"/>
              </w:rPr>
              <w:t>AOS Environmental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A"/>
          </w:tcPr>
          <w:p>
            <w:pPr>
              <w:keepLines/>
              <w:spacing w:after="0" w:line="247" w:lineRule="auto"/>
            </w:pPr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Fuente ambiental; evento o detección; medición; estimación o cálculo; masa, volumen, caudal y duración; riesgo; mitigación; seguimiento; cierre; inventarios e indicadores.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A"/>
          </w:tcPr>
          <w:p>
            <w:pPr>
              <w:keepLines/>
              <w:spacing w:after="0" w:line="247" w:lineRule="auto"/>
            </w:pPr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No duplica ni modifica geometría o topología.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47" w:lineRule="auto"/>
            </w:pPr>
            <w:r>
              <w:rPr>
                <w:rFonts w:ascii="Liberation Sans" w:hAnsi="Liberation Sans" w:eastAsia="Liberation Sans"/>
                <w:b/>
                <w:i w:val="0"/>
                <w:sz w:val="17"/>
              </w:rPr>
              <w:t>Wells / Networks / Facilities / Electrical / Maintenance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47" w:lineRule="auto"/>
            </w:pPr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Estado mecánico, condición, degradación, fallas, inspecciones, presiones, caudales, inventarios, consumos y acciones.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47" w:lineRule="auto"/>
            </w:pPr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No mantienen un modelo ambiental paralelo.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A"/>
          </w:tcPr>
          <w:p>
            <w:pPr>
              <w:keepLines/>
              <w:spacing w:after="0" w:line="247" w:lineRule="auto"/>
            </w:pPr>
            <w:r>
              <w:rPr>
                <w:rFonts w:ascii="Liberation Sans" w:hAnsi="Liberation Sans" w:eastAsia="Liberation Sans"/>
                <w:b/>
                <w:i w:val="0"/>
                <w:sz w:val="17"/>
              </w:rPr>
              <w:t>AOS Fluids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A"/>
          </w:tcPr>
          <w:p>
            <w:pPr>
              <w:keepLines/>
              <w:spacing w:after="0" w:line="247" w:lineRule="auto"/>
            </w:pPr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Composición y propiedades para convertir una pérdida física en masa por especie y evaluar comportamiento del fluido.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A"/>
          </w:tcPr>
          <w:p>
            <w:pPr>
              <w:keepLines/>
              <w:spacing w:after="0" w:line="247" w:lineRule="auto"/>
            </w:pPr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Fuente oficial de propiedades; no registra eventos.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47" w:lineRule="auto"/>
            </w:pPr>
            <w:r>
              <w:rPr>
                <w:rFonts w:ascii="Liberation Sans" w:hAnsi="Liberation Sans" w:eastAsia="Liberation Sans"/>
                <w:b/>
                <w:i w:val="0"/>
                <w:sz w:val="17"/>
              </w:rPr>
              <w:t>AOS SCADA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47" w:lineRule="auto"/>
            </w:pPr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Mediciones, tags, históricos, alarmas, eventos y estado de validación.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47" w:lineRule="auto"/>
            </w:pPr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No decide el inventario ambiental efectivo.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A"/>
          </w:tcPr>
          <w:p>
            <w:pPr>
              <w:keepLines/>
              <w:spacing w:after="0" w:line="247" w:lineRule="auto"/>
            </w:pPr>
            <w:r>
              <w:rPr>
                <w:rFonts w:ascii="Liberation Sans" w:hAnsi="Liberation Sans" w:eastAsia="Liberation Sans"/>
                <w:b/>
                <w:i w:val="0"/>
                <w:sz w:val="17"/>
              </w:rPr>
              <w:t>AOS Maintenance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A"/>
          </w:tcPr>
          <w:p>
            <w:pPr>
              <w:keepLines/>
              <w:spacing w:after="0" w:line="247" w:lineRule="auto"/>
            </w:pPr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Inspecciones, reparaciones, pulling y acciones correctivas.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A"/>
          </w:tcPr>
          <w:p>
            <w:pPr>
              <w:keepLines/>
              <w:spacing w:after="0" w:line="247" w:lineRule="auto"/>
            </w:pPr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Una orden cerrada no cierra el evento ambiental sin verificación posterior.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47" w:lineRule="auto"/>
            </w:pPr>
            <w:r>
              <w:rPr>
                <w:rFonts w:ascii="Liberation Sans" w:hAnsi="Liberation Sans" w:eastAsia="Liberation Sans"/>
                <w:b/>
                <w:i w:val="0"/>
                <w:sz w:val="17"/>
              </w:rPr>
              <w:t>AOS Global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47" w:lineRule="auto"/>
            </w:pPr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Consume emisiones, riesgos, restricciones y costos de mitigación.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0" w:line="247" w:lineRule="auto"/>
            </w:pPr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No reproduce la física ni los inventarios del banco ambiental.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00" w:after="140"/>
        <w:pBdr>
          <w:bottom w:val="single" w:sz="6" w:space="5" w:color="8CAFC4"/>
        </w:pBdr>
      </w:pPr>
      <w:r>
        <w:rPr>
          <w:rFonts w:ascii="Liberation Sans" w:hAnsi="Liberation Sans" w:eastAsia="Liberation Sans"/>
          <w:b/>
          <w:i w:val="0"/>
          <w:color w:val="0B2A3D"/>
          <w:sz w:val="32"/>
        </w:rPr>
        <w:t>5. Regla espacial obligatoria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2"/>
        <w:gridCol w:w="9576"/>
      </w:tblGrid>
      <w:tr>
        <w:tc>
          <w:tcPr>
            <w:tcW w:type="dxa" w:w="4997"/>
            <w:shd w:fill="D9902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4997"/>
            <w:shd w:fill="FFF3DF"/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pPr>
              <w:spacing w:after="80"/>
            </w:pPr>
            <w:r>
              <w:rPr>
                <w:rFonts w:ascii="Liberation Sans" w:hAnsi="Liberation Sans" w:eastAsia="Liberation Sans"/>
                <w:b/>
                <w:i w:val="0"/>
                <w:color w:val="D99024"/>
                <w:sz w:val="23"/>
              </w:rPr>
              <w:t>IDENTIDAD FÍSICA OBLIGATORIA</w:t>
            </w:r>
          </w:p>
          <w:p>
            <w:pPr>
              <w:spacing w:after="0" w:line="264" w:lineRule="auto"/>
            </w:pPr>
            <w:r>
              <w:rPr>
                <w:rFonts w:ascii="Liberation Sans" w:hAnsi="Liberation Sans" w:eastAsia="Liberation Sans"/>
                <w:b w:val="0"/>
                <w:i w:val="0"/>
                <w:sz w:val="21"/>
              </w:rPr>
              <w:t>Todo evento o fuente debe vincularse a un asset_id cuando exista un activo identificable. Una descripción libre complementa el registro, pero no reemplaza la identidad física disponible.</w:t>
            </w:r>
          </w:p>
        </w:tc>
      </w:tr>
    </w:tbl>
    <w:p>
      <w:pPr>
        <w:widowControl/>
        <w:spacing w:after="120" w:line="269" w:lineRule="auto"/>
      </w:pPr>
      <w:r>
        <w:rPr>
          <w:rFonts w:ascii="Liberation Sans" w:hAnsi="Liberation Sans" w:eastAsia="Liberation Sans"/>
          <w:b w:val="0"/>
          <w:i w:val="0"/>
        </w:rPr>
        <w:t>La referencia espacial puede complementarse con:</w:t>
      </w:r>
    </w:p>
    <w:p>
      <w:pPr>
        <w:pStyle w:val="ListBullet"/>
        <w:spacing w:after="60" w:line="259" w:lineRule="auto"/>
      </w:pPr>
      <w:r>
        <w:rPr>
          <w:rFonts w:ascii="Liberation Sans" w:hAnsi="Liberation Sans" w:eastAsia="Liberation Sans"/>
          <w:b w:val="0"/>
          <w:i w:val="0"/>
        </w:rPr>
        <w:t>component_id;</w:t>
      </w:r>
    </w:p>
    <w:p>
      <w:pPr>
        <w:pStyle w:val="ListBullet"/>
        <w:spacing w:after="60" w:line="259" w:lineRule="auto"/>
      </w:pPr>
      <w:r>
        <w:rPr>
          <w:rFonts w:ascii="Liberation Sans" w:hAnsi="Liberation Sans" w:eastAsia="Liberation Sans"/>
          <w:b w:val="0"/>
          <w:i w:val="0"/>
        </w:rPr>
        <w:t>instance_id;</w:t>
      </w:r>
    </w:p>
    <w:p>
      <w:pPr>
        <w:pStyle w:val="ListBullet"/>
        <w:spacing w:after="60" w:line="259" w:lineRule="auto"/>
      </w:pPr>
      <w:r>
        <w:rPr>
          <w:rFonts w:ascii="Liberation Sans" w:hAnsi="Liberation Sans" w:eastAsia="Liberation Sans"/>
          <w:b w:val="0"/>
          <w:i w:val="0"/>
        </w:rPr>
        <w:t>puerto, sello, brida o subcomponente;</w:t>
      </w:r>
    </w:p>
    <w:p>
      <w:pPr>
        <w:pStyle w:val="ListBullet"/>
        <w:spacing w:after="60" w:line="259" w:lineRule="auto"/>
      </w:pPr>
      <w:r>
        <w:rPr>
          <w:rFonts w:ascii="Liberation Sans" w:hAnsi="Liberation Sans" w:eastAsia="Liberation Sans"/>
          <w:b w:val="0"/>
          <w:i w:val="0"/>
        </w:rPr>
        <w:t>nodo AOSCAD;</w:t>
      </w:r>
    </w:p>
    <w:p>
      <w:pPr>
        <w:pStyle w:val="ListBullet"/>
        <w:spacing w:after="60" w:line="259" w:lineRule="auto"/>
      </w:pPr>
      <w:r>
        <w:rPr>
          <w:rFonts w:ascii="Liberation Sans" w:hAnsi="Liberation Sans" w:eastAsia="Liberation Sans"/>
          <w:b w:val="0"/>
          <w:i w:val="0"/>
        </w:rPr>
        <w:t>tramo y estación sobre tubería;</w:t>
      </w:r>
    </w:p>
    <w:p>
      <w:pPr>
        <w:pStyle w:val="ListBullet"/>
        <w:spacing w:after="60" w:line="259" w:lineRule="auto"/>
      </w:pPr>
      <w:r>
        <w:rPr>
          <w:rFonts w:ascii="Liberation Sans" w:hAnsi="Liberation Sans" w:eastAsia="Liberation Sans"/>
          <w:b w:val="0"/>
          <w:i w:val="0"/>
        </w:rPr>
        <w:t>coordenadas XYZ;</w:t>
      </w:r>
    </w:p>
    <w:p>
      <w:pPr>
        <w:pStyle w:val="ListBullet"/>
        <w:spacing w:after="60" w:line="259" w:lineRule="auto"/>
      </w:pPr>
      <w:r>
        <w:rPr>
          <w:rFonts w:ascii="Liberation Sans" w:hAnsi="Liberation Sans" w:eastAsia="Liberation Sans"/>
          <w:b w:val="0"/>
          <w:i w:val="0"/>
        </w:rPr>
        <w:t>pozo, MD y TVD;</w:t>
      </w:r>
    </w:p>
    <w:p>
      <w:pPr>
        <w:pStyle w:val="ListBullet"/>
        <w:spacing w:after="60" w:line="259" w:lineRule="auto"/>
      </w:pPr>
      <w:r>
        <w:rPr>
          <w:rFonts w:ascii="Liberation Sans" w:hAnsi="Liberation Sans" w:eastAsia="Liberation Sans"/>
          <w:b w:val="0"/>
          <w:i w:val="0"/>
        </w:rPr>
        <w:t>área afectada o contención secundaria.</w:t>
      </w:r>
    </w:p>
    <w:p>
      <w:pPr>
        <w:pStyle w:val="Heading1"/>
        <w:keepNext/>
        <w:spacing w:before="300" w:after="140"/>
        <w:pBdr>
          <w:bottom w:val="single" w:sz="6" w:space="5" w:color="8CAFC4"/>
        </w:pBdr>
      </w:pPr>
      <w:r>
        <w:rPr>
          <w:rFonts w:ascii="Liberation Sans" w:hAnsi="Liberation Sans" w:eastAsia="Liberation Sans"/>
          <w:b/>
          <w:i w:val="0"/>
          <w:color w:val="0B2A3D"/>
          <w:sz w:val="32"/>
        </w:rPr>
        <w:t>6. Relación con estado mecánico</w:t>
      </w:r>
    </w:p>
    <w:p>
      <w:pPr>
        <w:widowControl/>
        <w:spacing w:after="120" w:line="269" w:lineRule="auto"/>
      </w:pPr>
      <w:r>
        <w:rPr>
          <w:rFonts w:ascii="Liberation Sans" w:hAnsi="Liberation Sans" w:eastAsia="Liberation Sans"/>
          <w:b w:val="0"/>
          <w:i w:val="0"/>
        </w:rPr>
        <w:t>La arquitectura separa dos cálculos y conserva su trazabilidad: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1E6"/>
          <w:left w:val="single" w:sz="4" w:space="0" w:color="D9E1E6"/>
          <w:bottom w:val="single" w:sz="4" w:space="0" w:color="D9E1E6"/>
          <w:right w:val="single" w:sz="4" w:space="0" w:color="D9E1E6"/>
          <w:insideH w:val="single" w:sz="4" w:space="0" w:color="D9E1E6"/>
          <w:insideV w:val="single" w:sz="4" w:space="0" w:color="D9E1E6"/>
        </w:tblBorders>
      </w:tblPr>
      <w:tblGrid>
        <w:gridCol w:w="9994"/>
      </w:tblGrid>
      <w:tr>
        <w:tc>
          <w:tcPr>
            <w:tcW w:type="dxa" w:w="9994"/>
            <w:shd w:fill="F2F4F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23313A"/>
                <w:sz w:val="20"/>
              </w:rPr>
              <w:t>estado mecanico / integridad -&gt; probabilidad de perdida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3313A"/>
                <w:sz w:val="20"/>
              </w:rPr>
              <w:t>AOS Environmental           -&gt; consecuencia, inventario, riesgo y prioridad ambiental</w:t>
            </w:r>
          </w:p>
        </w:tc>
      </w:tr>
    </w:tbl>
    <w:p>
      <w:pPr>
        <w:spacing w:after="0"/>
      </w:pPr>
    </w:p>
    <w:p>
      <w:pPr>
        <w:widowControl/>
        <w:spacing w:after="120" w:line="269" w:lineRule="auto"/>
      </w:pPr>
      <w:r>
        <w:rPr>
          <w:rFonts w:ascii="Liberation Sans" w:hAnsi="Liberation Sans" w:eastAsia="Liberation Sans"/>
          <w:b w:val="0"/>
          <w:i w:val="0"/>
        </w:rPr>
        <w:t>AOS Environmental podrá combinar probabilidad de falla con presión, caudal, inventario, composición, duración probable, detectabilidad, contención y receptores. La metodología detallada se definirá durante el diseño de contratos y solvers.</w:t>
      </w:r>
    </w:p>
    <w:p>
      <w:pPr>
        <w:pStyle w:val="Heading1"/>
        <w:keepNext/>
        <w:spacing w:before="300" w:after="140"/>
        <w:pBdr>
          <w:bottom w:val="single" w:sz="6" w:space="5" w:color="8CAFC4"/>
        </w:pBdr>
      </w:pPr>
      <w:r>
        <w:rPr>
          <w:rFonts w:ascii="Liberation Sans" w:hAnsi="Liberation Sans" w:eastAsia="Liberation Sans"/>
          <w:b/>
          <w:i w:val="0"/>
          <w:color w:val="0B2A3D"/>
          <w:sz w:val="32"/>
        </w:rPr>
        <w:t>7. Emisiones indirectas por energía</w:t>
      </w:r>
    </w:p>
    <w:p>
      <w:pPr>
        <w:widowControl/>
        <w:spacing w:after="120" w:line="269" w:lineRule="auto"/>
      </w:pPr>
      <w:r>
        <w:rPr>
          <w:rFonts w:ascii="Liberation Sans" w:hAnsi="Liberation Sans" w:eastAsia="Liberation Sans"/>
          <w:b w:val="0"/>
          <w:i w:val="0"/>
        </w:rPr>
        <w:t>Los bancos consumidores publicarán actividad energética medida, reconciliada, simulada o estimada. AOS Environmental seleccionará factores versionados y calculará emisiones indirectas y CO₂ equivalente.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1E6"/>
          <w:left w:val="single" w:sz="4" w:space="0" w:color="D9E1E6"/>
          <w:bottom w:val="single" w:sz="4" w:space="0" w:color="D9E1E6"/>
          <w:right w:val="single" w:sz="4" w:space="0" w:color="D9E1E6"/>
          <w:insideH w:val="single" w:sz="4" w:space="0" w:color="D9E1E6"/>
          <w:insideV w:val="single" w:sz="4" w:space="0" w:color="D9E1E6"/>
        </w:tblBorders>
      </w:tblPr>
      <w:tblGrid>
        <w:gridCol w:w="9994"/>
      </w:tblGrid>
      <w:tr>
        <w:tc>
          <w:tcPr>
            <w:tcW w:type="dxa" w:w="9994"/>
            <w:shd w:fill="F2F4F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23313A"/>
                <w:sz w:val="20"/>
              </w:rPr>
              <w:t>modulo consumidor -&gt; actividad energetica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3313A"/>
                <w:sz w:val="20"/>
              </w:rPr>
              <w:t>AOS Environmental -&gt; factor + calculo + trazabilidad + prevencion de doble conteo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2"/>
        <w:gridCol w:w="9576"/>
      </w:tblGrid>
      <w:tr>
        <w:tc>
          <w:tcPr>
            <w:tcW w:type="dxa" w:w="4997"/>
            <w:shd w:fill="0B8C8C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4997"/>
            <w:shd w:fill="E8F5F3"/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pPr>
              <w:spacing w:after="80"/>
            </w:pPr>
            <w:r>
              <w:rPr>
                <w:rFonts w:ascii="Liberation Sans" w:hAnsi="Liberation Sans" w:eastAsia="Liberation Sans"/>
                <w:b/>
                <w:i w:val="0"/>
                <w:color w:val="0B8C8C"/>
                <w:sz w:val="23"/>
              </w:rPr>
              <w:t>REGLA TRANSVERSAL</w:t>
            </w:r>
          </w:p>
          <w:p>
            <w:pPr>
              <w:spacing w:after="0" w:line="264" w:lineRule="auto"/>
            </w:pPr>
            <w:r>
              <w:rPr>
                <w:rFonts w:ascii="Liberation Sans" w:hAnsi="Liberation Sans" w:eastAsia="Liberation Sans"/>
                <w:b w:val="0"/>
                <w:i w:val="0"/>
                <w:sz w:val="21"/>
              </w:rPr>
              <w:t>Los módulos consumidores no deben incorporar factores ambientales divergentes como fuente oficial de verdad. La actividad energética permanece en el banco productor; la conversión ambiental y el gobierno de factores pertenecen a AOS Environmental.</w:t>
            </w:r>
          </w:p>
        </w:tc>
      </w:tr>
    </w:tbl>
    <w:p>
      <w:pPr>
        <w:pStyle w:val="Heading1"/>
        <w:keepNext/>
        <w:spacing w:before="300" w:after="140"/>
        <w:pBdr>
          <w:bottom w:val="single" w:sz="6" w:space="5" w:color="8CAFC4"/>
        </w:pBdr>
      </w:pPr>
      <w:r>
        <w:rPr>
          <w:rFonts w:ascii="Liberation Sans" w:hAnsi="Liberation Sans" w:eastAsia="Liberation Sans"/>
          <w:b/>
          <w:i w:val="0"/>
          <w:color w:val="0B2A3D"/>
          <w:sz w:val="32"/>
        </w:rPr>
        <w:t>8. Compatibilidad y migración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DE3"/>
          <w:left w:val="single" w:sz="6" w:space="0" w:color="D5DDE3"/>
          <w:bottom w:val="single" w:sz="6" w:space="0" w:color="D5DDE3"/>
          <w:right w:val="single" w:sz="6" w:space="0" w:color="D5DDE3"/>
          <w:insideH w:val="single" w:sz="6" w:space="0" w:color="D5DDE3"/>
          <w:insideV w:val="single" w:sz="6" w:space="0" w:color="D5DDE3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3384"/>
            <w:shd w:fill="0B2A3D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9"/>
              </w:rPr>
              <w:t>Elemento</w:t>
            </w:r>
          </w:p>
        </w:tc>
        <w:tc>
          <w:tcPr>
            <w:tcW w:type="dxa" w:w="6336"/>
            <w:shd w:fill="0B2A3D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9"/>
              </w:rPr>
              <w:t>Regla de compatibilidad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b/>
                <w:i w:val="0"/>
                <w:sz w:val="18"/>
              </w:rPr>
              <w:t>AMBIENTAL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Se mantiene como alias de ENVIRONMENTAL.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A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b/>
                <w:i w:val="0"/>
                <w:sz w:val="18"/>
              </w:rPr>
              <w:t>AOS_menu_gestion_ambiental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A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Se mantiene como alias temporal del futuro AOS_menu_environmental.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b/>
                <w:i w:val="0"/>
                <w:sz w:val="18"/>
              </w:rPr>
              <w:t>[ambiental], [gestion_ambiental], [hse], [emisiones]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Los futuros adaptadores deberán aceptar secciones históricas.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A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b/>
                <w:i w:val="0"/>
                <w:sz w:val="18"/>
              </w:rPr>
              <w:t>AOS Maintenance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A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Conserva el acceso heredado durante la transición, pero deja de ser propietario del modelo ambiental.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b/>
                <w:i w:val="0"/>
                <w:sz w:val="18"/>
              </w:rPr>
              <w:t>Formatos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Este ADR no crea una nueva extensión propietaria ni define todavía un schema definitivo.</w:t>
            </w:r>
          </w:p>
        </w:tc>
      </w:tr>
      <w:tr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A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b/>
                <w:i w:val="0"/>
                <w:sz w:val="18"/>
              </w:rPr>
              <w:t>Casos y reportes históricos</w:t>
            </w:r>
          </w:p>
        </w:tc>
        <w:tc>
          <w:tcPr>
            <w:tcW w:type="dxa" w:w="63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A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La migración no puede romper su lectura ni su trazabilidad.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00" w:after="140"/>
        <w:pBdr>
          <w:bottom w:val="single" w:sz="6" w:space="5" w:color="8CAFC4"/>
        </w:pBdr>
      </w:pPr>
      <w:r>
        <w:rPr>
          <w:rFonts w:ascii="Liberation Sans" w:hAnsi="Liberation Sans" w:eastAsia="Liberation Sans"/>
          <w:b/>
          <w:i w:val="0"/>
          <w:color w:val="0B2A3D"/>
          <w:sz w:val="32"/>
        </w:rPr>
        <w:t>9. Consecuencias</w:t>
      </w:r>
    </w:p>
    <w:p>
      <w:pPr>
        <w:pStyle w:val="Heading2"/>
        <w:keepNext/>
        <w:spacing w:before="180" w:after="80"/>
      </w:pPr>
      <w:r>
        <w:rPr>
          <w:rFonts w:ascii="Liberation Sans" w:hAnsi="Liberation Sans" w:eastAsia="Liberation Sans"/>
          <w:b/>
          <w:i w:val="0"/>
          <w:color w:val="0B8C8C"/>
          <w:sz w:val="25"/>
        </w:rPr>
        <w:t>Consecuencias positivas</w:t>
      </w:r>
    </w:p>
    <w:p>
      <w:pPr>
        <w:pStyle w:val="ListBullet"/>
        <w:spacing w:after="60" w:line="259" w:lineRule="auto"/>
      </w:pPr>
      <w:r>
        <w:rPr>
          <w:rFonts w:ascii="Liberation Sans" w:hAnsi="Liberation Sans" w:eastAsia="Liberation Sans"/>
          <w:b w:val="0"/>
          <w:i w:val="0"/>
        </w:rPr>
        <w:t>Identidad espacial inequívoca de eventos y fuentes.</w:t>
      </w:r>
    </w:p>
    <w:p>
      <w:pPr>
        <w:pStyle w:val="ListBullet"/>
        <w:spacing w:after="60" w:line="259" w:lineRule="auto"/>
      </w:pPr>
      <w:r>
        <w:rPr>
          <w:rFonts w:ascii="Liberation Sans" w:hAnsi="Liberation Sans" w:eastAsia="Liberation Sans"/>
          <w:b w:val="0"/>
          <w:i w:val="0"/>
        </w:rPr>
        <w:t>Separación correcta entre integridad, ambiente y mantenimiento.</w:t>
      </w:r>
    </w:p>
    <w:p>
      <w:pPr>
        <w:pStyle w:val="ListBullet"/>
        <w:spacing w:after="60" w:line="259" w:lineRule="auto"/>
      </w:pPr>
      <w:r>
        <w:rPr>
          <w:rFonts w:ascii="Liberation Sans" w:hAnsi="Liberation Sans" w:eastAsia="Liberation Sans"/>
          <w:b w:val="0"/>
          <w:i w:val="0"/>
        </w:rPr>
        <w:t>Inventario ambiental transversal a toda la Suite.</w:t>
      </w:r>
    </w:p>
    <w:p>
      <w:pPr>
        <w:pStyle w:val="ListBullet"/>
        <w:spacing w:after="60" w:line="259" w:lineRule="auto"/>
      </w:pPr>
      <w:r>
        <w:rPr>
          <w:rFonts w:ascii="Liberation Sans" w:hAnsi="Liberation Sans" w:eastAsia="Liberation Sans"/>
          <w:b w:val="0"/>
          <w:i w:val="0"/>
        </w:rPr>
        <w:t>Una sola metodología para emisiones indirectas.</w:t>
      </w:r>
    </w:p>
    <w:p>
      <w:pPr>
        <w:pStyle w:val="ListBullet"/>
        <w:spacing w:after="60" w:line="259" w:lineRule="auto"/>
      </w:pPr>
      <w:r>
        <w:rPr>
          <w:rFonts w:ascii="Liberation Sans" w:hAnsi="Liberation Sans" w:eastAsia="Liberation Sans"/>
          <w:b w:val="0"/>
          <w:i w:val="0"/>
        </w:rPr>
        <w:t>Mejor trazabilidad entre detección, cálculo, orden correctiva y verificación.</w:t>
      </w:r>
    </w:p>
    <w:p>
      <w:pPr>
        <w:pStyle w:val="ListBullet"/>
        <w:spacing w:after="60" w:line="259" w:lineRule="auto"/>
      </w:pPr>
      <w:r>
        <w:rPr>
          <w:rFonts w:ascii="Liberation Sans" w:hAnsi="Liberation Sans" w:eastAsia="Liberation Sans"/>
          <w:b w:val="0"/>
          <w:i w:val="0"/>
        </w:rPr>
        <w:t>Capacidad de representar eventos y criticidad en AOSCAD 2D/3D.</w:t>
      </w:r>
    </w:p>
    <w:p>
      <w:pPr>
        <w:pStyle w:val="ListBullet"/>
        <w:spacing w:after="60" w:line="259" w:lineRule="auto"/>
      </w:pPr>
      <w:r>
        <w:rPr>
          <w:rFonts w:ascii="Liberation Sans" w:hAnsi="Liberation Sans" w:eastAsia="Liberation Sans"/>
          <w:b w:val="0"/>
          <w:i w:val="0"/>
        </w:rPr>
        <w:t>Integración futura con AOS Global sin duplicación de física.</w:t>
      </w:r>
    </w:p>
    <w:p>
      <w:pPr>
        <w:pStyle w:val="Heading2"/>
        <w:keepNext/>
        <w:spacing w:before="180" w:after="80"/>
      </w:pPr>
      <w:r>
        <w:rPr>
          <w:rFonts w:ascii="Liberation Sans" w:hAnsi="Liberation Sans" w:eastAsia="Liberation Sans"/>
          <w:b/>
          <w:i w:val="0"/>
          <w:color w:val="0B8C8C"/>
          <w:sz w:val="25"/>
        </w:rPr>
        <w:t>Costos y riesgos</w:t>
      </w:r>
    </w:p>
    <w:p>
      <w:pPr>
        <w:pStyle w:val="ListBullet"/>
        <w:spacing w:after="60" w:line="259" w:lineRule="auto"/>
      </w:pPr>
      <w:r>
        <w:rPr>
          <w:rFonts w:ascii="Liberation Sans" w:hAnsi="Liberation Sans" w:eastAsia="Liberation Sans"/>
          <w:b w:val="0"/>
          <w:i w:val="0"/>
        </w:rPr>
        <w:t>Se requieren contratos nuevos y adaptadores de compatibilidad.</w:t>
      </w:r>
    </w:p>
    <w:p>
      <w:pPr>
        <w:pStyle w:val="ListBullet"/>
        <w:spacing w:after="60" w:line="259" w:lineRule="auto"/>
      </w:pPr>
      <w:r>
        <w:rPr>
          <w:rFonts w:ascii="Liberation Sans" w:hAnsi="Liberation Sans" w:eastAsia="Liberation Sans"/>
          <w:b w:val="0"/>
          <w:i w:val="0"/>
        </w:rPr>
        <w:t>Deben definirse reglas de precedencia entre medición, reconciliación, simulación y estimación.</w:t>
      </w:r>
    </w:p>
    <w:p>
      <w:pPr>
        <w:pStyle w:val="ListBullet"/>
        <w:spacing w:after="60" w:line="259" w:lineRule="auto"/>
      </w:pPr>
      <w:r>
        <w:rPr>
          <w:rFonts w:ascii="Liberation Sans" w:hAnsi="Liberation Sans" w:eastAsia="Liberation Sans"/>
          <w:b w:val="0"/>
          <w:i w:val="0"/>
        </w:rPr>
        <w:t>Existe riesgo de doble conteo energético si no se gobierna la actividad efectiva.</w:t>
      </w:r>
    </w:p>
    <w:p>
      <w:pPr>
        <w:pStyle w:val="ListBullet"/>
        <w:spacing w:after="60" w:line="259" w:lineRule="auto"/>
      </w:pPr>
      <w:r>
        <w:rPr>
          <w:rFonts w:ascii="Liberation Sans" w:hAnsi="Liberation Sans" w:eastAsia="Liberation Sans"/>
          <w:b w:val="0"/>
          <w:i w:val="0"/>
        </w:rPr>
        <w:t>Deben versionarse factores de emisión, bases de cálculo y horizontes de CO₂ equivalente.</w:t>
      </w:r>
    </w:p>
    <w:p>
      <w:pPr>
        <w:pStyle w:val="ListBullet"/>
        <w:spacing w:after="60" w:line="259" w:lineRule="auto"/>
      </w:pPr>
      <w:r>
        <w:rPr>
          <w:rFonts w:ascii="Liberation Sans" w:hAnsi="Liberation Sans" w:eastAsia="Liberation Sans"/>
          <w:b w:val="0"/>
          <w:i w:val="0"/>
        </w:rPr>
        <w:t>H₂S exige conservar toxicidad y exposición por separado de CO₂ equivalente.</w:t>
      </w:r>
    </w:p>
    <w:p>
      <w:pPr>
        <w:pStyle w:val="ListBullet"/>
        <w:spacing w:after="60" w:line="259" w:lineRule="auto"/>
      </w:pPr>
      <w:r>
        <w:rPr>
          <w:rFonts w:ascii="Liberation Sans" w:hAnsi="Liberation Sans" w:eastAsia="Liberation Sans"/>
          <w:b w:val="0"/>
          <w:i w:val="0"/>
        </w:rPr>
        <w:t>La calidad de localización depende de la madurez del inventario AOSCAD y de los identificadores de activos.</w:t>
      </w:r>
    </w:p>
    <w:p>
      <w:pPr>
        <w:pStyle w:val="Heading1"/>
        <w:keepNext/>
        <w:spacing w:before="300" w:after="140"/>
        <w:pBdr>
          <w:bottom w:val="single" w:sz="6" w:space="5" w:color="8CAFC4"/>
        </w:pBdr>
      </w:pPr>
      <w:r>
        <w:rPr>
          <w:rFonts w:ascii="Liberation Sans" w:hAnsi="Liberation Sans" w:eastAsia="Liberation Sans"/>
          <w:b/>
          <w:i w:val="0"/>
          <w:color w:val="0B2A3D"/>
          <w:sz w:val="32"/>
        </w:rPr>
        <w:t>10. Fases de implementación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DE3"/>
          <w:left w:val="single" w:sz="6" w:space="0" w:color="D5DDE3"/>
          <w:bottom w:val="single" w:sz="6" w:space="0" w:color="D5DDE3"/>
          <w:right w:val="single" w:sz="6" w:space="0" w:color="D5DDE3"/>
          <w:insideH w:val="single" w:sz="6" w:space="0" w:color="D5DDE3"/>
          <w:insideV w:val="single" w:sz="6" w:space="0" w:color="D5DDE3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shd w:fill="0B2A3D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9"/>
              </w:rPr>
              <w:t>Fase</w:t>
            </w:r>
          </w:p>
        </w:tc>
        <w:tc>
          <w:tcPr>
            <w:tcW w:type="dxa" w:w="7344"/>
            <w:shd w:fill="0B2A3D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b/>
                <w:i w:val="0"/>
                <w:sz w:val="18"/>
              </w:rPr>
              <w:t>A — Arquitectura ENV-01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ADR, corrección del roadmap, alta del workbench objetivo, fronteras, orden de cinta y documentación. No modifica runtime.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A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b/>
                <w:i w:val="0"/>
                <w:sz w:val="18"/>
              </w:rPr>
              <w:t>B — Diseño de contratos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A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Entidades, campos, unidades, cardinalidades, estados, precedencias, invalidación, catálogos y round-trip.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b/>
                <w:i w:val="0"/>
                <w:sz w:val="18"/>
              </w:rPr>
              <w:t>C — Scaffold runtime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Entrypoint independiente, menú, contexto, registro, importación/exportación y alias de compatibilidad.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A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b/>
                <w:i w:val="0"/>
                <w:sz w:val="18"/>
              </w:rPr>
              <w:t>D — Capacidades ambientales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A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Inventarios, derrames, emisiones fugitivas/directas, H₂S, energía indirecta, riesgo y reportes.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b/>
                <w:i w:val="0"/>
                <w:sz w:val="18"/>
              </w:rPr>
              <w:t>E — Integración avanzada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SCADA, LDAR, overlays AOSCAD, Maintenance, Viewer y AOS Global.</w:t>
            </w:r>
          </w:p>
        </w:tc>
      </w:tr>
    </w:tbl>
    <w:p>
      <w:pPr>
        <w:spacing w:after="20"/>
      </w:pPr>
    </w:p>
    <w:p>
      <w:pPr>
        <w:widowControl/>
        <w:spacing w:after="120" w:line="269" w:lineRule="auto"/>
      </w:pPr>
      <w:r>
        <w:rPr>
          <w:rFonts w:ascii="Liberation Sans" w:hAnsi="Liberation Sans" w:eastAsia="Liberation Sans"/>
          <w:b w:val="0"/>
          <w:i w:val="0"/>
        </w:rPr>
        <w:t>Entidades candidatas para la fase de contratos: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1E6"/>
          <w:left w:val="single" w:sz="4" w:space="0" w:color="D9E1E6"/>
          <w:bottom w:val="single" w:sz="4" w:space="0" w:color="D9E1E6"/>
          <w:right w:val="single" w:sz="4" w:space="0" w:color="D9E1E6"/>
          <w:insideH w:val="single" w:sz="4" w:space="0" w:color="D9E1E6"/>
          <w:insideV w:val="single" w:sz="4" w:space="0" w:color="D9E1E6"/>
        </w:tblBorders>
      </w:tblPr>
      <w:tblGrid>
        <w:gridCol w:w="9994"/>
      </w:tblGrid>
      <w:tr>
        <w:tc>
          <w:tcPr>
            <w:tcW w:type="dxa" w:w="9994"/>
            <w:shd w:fill="F2F4F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23313A"/>
                <w:sz w:val="19"/>
              </w:rPr>
              <w:t>ENVIRONMENTAL_SOURCE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3313A"/>
                <w:sz w:val="19"/>
              </w:rPr>
              <w:t>ENVIRONMENTAL_EVENT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3313A"/>
                <w:sz w:val="19"/>
              </w:rPr>
              <w:t>ENVIRONMENTAL_MEASUREMENT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3313A"/>
                <w:sz w:val="19"/>
              </w:rPr>
              <w:t>ENERGY_ACTIVITY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3313A"/>
                <w:sz w:val="19"/>
              </w:rPr>
              <w:t>EMISSION_FACTOR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3313A"/>
                <w:sz w:val="19"/>
              </w:rPr>
              <w:t>ENVIRONMENTAL_RESULT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3313A"/>
                <w:sz w:val="19"/>
              </w:rPr>
              <w:t>ENVIRONMENTAL_RISK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3313A"/>
                <w:sz w:val="19"/>
              </w:rPr>
              <w:t>ENVIRONMENTAL_ACTION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00" w:after="140"/>
        <w:pBdr>
          <w:bottom w:val="single" w:sz="6" w:space="5" w:color="8CAFC4"/>
        </w:pBdr>
      </w:pPr>
      <w:r>
        <w:rPr>
          <w:rFonts w:ascii="Liberation Sans" w:hAnsi="Liberation Sans" w:eastAsia="Liberation Sans"/>
          <w:b/>
          <w:i w:val="0"/>
          <w:color w:val="0B2A3D"/>
          <w:sz w:val="32"/>
        </w:rPr>
        <w:t>11. Criterios de aceptación de ENV-01</w:t>
      </w:r>
    </w:p>
    <w:p>
      <w:pPr>
        <w:spacing w:after="80"/>
        <w:ind w:left="259" w:hanging="259"/>
      </w:pPr>
      <w:r>
        <w:rPr>
          <w:rFonts w:ascii="Liberation Sans" w:hAnsi="Liberation Sans" w:eastAsia="Liberation Sans"/>
          <w:b/>
          <w:i w:val="0"/>
          <w:color w:val="0B8C8C"/>
          <w:sz w:val="22"/>
        </w:rPr>
        <w:t xml:space="preserve">☐ </w:t>
      </w:r>
      <w:r>
        <w:rPr>
          <w:rFonts w:ascii="Liberation Sans" w:hAnsi="Liberation Sans" w:eastAsia="Liberation Sans"/>
          <w:b w:val="0"/>
          <w:i w:val="0"/>
          <w:sz w:val="20"/>
        </w:rPr>
        <w:t>AOS Environmental figura como workbench independiente en los manifests 0.2.0.</w:t>
      </w:r>
    </w:p>
    <w:p>
      <w:pPr>
        <w:spacing w:after="80"/>
        <w:ind w:left="259" w:hanging="259"/>
      </w:pPr>
      <w:r>
        <w:rPr>
          <w:rFonts w:ascii="Liberation Sans" w:hAnsi="Liberation Sans" w:eastAsia="Liberation Sans"/>
          <w:b/>
          <w:i w:val="0"/>
          <w:color w:val="0B8C8C"/>
          <w:sz w:val="22"/>
        </w:rPr>
        <w:t xml:space="preserve">☐ </w:t>
      </w:r>
      <w:r>
        <w:rPr>
          <w:rFonts w:ascii="Liberation Sans" w:hAnsi="Liberation Sans" w:eastAsia="Liberation Sans"/>
          <w:b w:val="0"/>
          <w:i w:val="0"/>
          <w:sz w:val="20"/>
        </w:rPr>
        <w:t>El orden de cinta es SCADA, Environmental, Maintenance.</w:t>
      </w:r>
    </w:p>
    <w:p>
      <w:pPr>
        <w:spacing w:after="80"/>
        <w:ind w:left="259" w:hanging="259"/>
      </w:pPr>
      <w:r>
        <w:rPr>
          <w:rFonts w:ascii="Liberation Sans" w:hAnsi="Liberation Sans" w:eastAsia="Liberation Sans"/>
          <w:b/>
          <w:i w:val="0"/>
          <w:color w:val="0B8C8C"/>
          <w:sz w:val="22"/>
        </w:rPr>
        <w:t xml:space="preserve">☐ </w:t>
      </w:r>
      <w:r>
        <w:rPr>
          <w:rFonts w:ascii="Liberation Sans" w:hAnsi="Liberation Sans" w:eastAsia="Liberation Sans"/>
          <w:b w:val="0"/>
          <w:i w:val="0"/>
          <w:sz w:val="20"/>
        </w:rPr>
        <w:t>Maintenance ya no declara propiedad del modelo ambiental.</w:t>
      </w:r>
    </w:p>
    <w:p>
      <w:pPr>
        <w:spacing w:after="80"/>
        <w:ind w:left="259" w:hanging="259"/>
      </w:pPr>
      <w:r>
        <w:rPr>
          <w:rFonts w:ascii="Liberation Sans" w:hAnsi="Liberation Sans" w:eastAsia="Liberation Sans"/>
          <w:b/>
          <w:i w:val="0"/>
          <w:color w:val="0B8C8C"/>
          <w:sz w:val="22"/>
        </w:rPr>
        <w:t xml:space="preserve">☐ </w:t>
      </w:r>
      <w:r>
        <w:rPr>
          <w:rFonts w:ascii="Liberation Sans" w:hAnsi="Liberation Sans" w:eastAsia="Liberation Sans"/>
          <w:b w:val="0"/>
          <w:i w:val="0"/>
          <w:sz w:val="20"/>
        </w:rPr>
        <w:t>La documentación distingue arquitectura objetivo y runtime heredado.</w:t>
      </w:r>
    </w:p>
    <w:p>
      <w:pPr>
        <w:spacing w:after="80"/>
        <w:ind w:left="259" w:hanging="259"/>
      </w:pPr>
      <w:r>
        <w:rPr>
          <w:rFonts w:ascii="Liberation Sans" w:hAnsi="Liberation Sans" w:eastAsia="Liberation Sans"/>
          <w:b/>
          <w:i w:val="0"/>
          <w:color w:val="0B8C8C"/>
          <w:sz w:val="22"/>
        </w:rPr>
        <w:t xml:space="preserve">☐ </w:t>
      </w:r>
      <w:r>
        <w:rPr>
          <w:rFonts w:ascii="Liberation Sans" w:hAnsi="Liberation Sans" w:eastAsia="Liberation Sans"/>
          <w:b w:val="0"/>
          <w:i w:val="0"/>
          <w:sz w:val="20"/>
        </w:rPr>
        <w:t>AOSCAD figura como autoridad espacial.</w:t>
      </w:r>
    </w:p>
    <w:p>
      <w:pPr>
        <w:spacing w:after="80"/>
        <w:ind w:left="259" w:hanging="259"/>
      </w:pPr>
      <w:r>
        <w:rPr>
          <w:rFonts w:ascii="Liberation Sans" w:hAnsi="Liberation Sans" w:eastAsia="Liberation Sans"/>
          <w:b/>
          <w:i w:val="0"/>
          <w:color w:val="0B8C8C"/>
          <w:sz w:val="22"/>
        </w:rPr>
        <w:t xml:space="preserve">☐ </w:t>
      </w:r>
      <w:r>
        <w:rPr>
          <w:rFonts w:ascii="Liberation Sans" w:hAnsi="Liberation Sans" w:eastAsia="Liberation Sans"/>
          <w:b w:val="0"/>
          <w:i w:val="0"/>
          <w:sz w:val="20"/>
        </w:rPr>
        <w:t>La actividad energética y la conversión ambiental están separadas.</w:t>
      </w:r>
    </w:p>
    <w:p>
      <w:pPr>
        <w:spacing w:after="80"/>
        <w:ind w:left="259" w:hanging="259"/>
      </w:pPr>
      <w:r>
        <w:rPr>
          <w:rFonts w:ascii="Liberation Sans" w:hAnsi="Liberation Sans" w:eastAsia="Liberation Sans"/>
          <w:b/>
          <w:i w:val="0"/>
          <w:color w:val="0B8C8C"/>
          <w:sz w:val="22"/>
        </w:rPr>
        <w:t xml:space="preserve">☐ </w:t>
      </w:r>
      <w:r>
        <w:rPr>
          <w:rFonts w:ascii="Liberation Sans" w:hAnsi="Liberation Sans" w:eastAsia="Liberation Sans"/>
          <w:b w:val="0"/>
          <w:i w:val="0"/>
          <w:sz w:val="20"/>
        </w:rPr>
        <w:t>Se conserva compatibilidad con AMBIENTAL y el menú histórico.</w:t>
      </w:r>
    </w:p>
    <w:p>
      <w:pPr>
        <w:spacing w:after="80"/>
        <w:ind w:left="259" w:hanging="259"/>
      </w:pPr>
      <w:r>
        <w:rPr>
          <w:rFonts w:ascii="Liberation Sans" w:hAnsi="Liberation Sans" w:eastAsia="Liberation Sans"/>
          <w:b/>
          <w:i w:val="0"/>
          <w:color w:val="0B8C8C"/>
          <w:sz w:val="22"/>
        </w:rPr>
        <w:t xml:space="preserve">☐ </w:t>
      </w:r>
      <w:r>
        <w:rPr>
          <w:rFonts w:ascii="Liberation Sans" w:hAnsi="Liberation Sans" w:eastAsia="Liberation Sans"/>
          <w:b w:val="0"/>
          <w:i w:val="0"/>
          <w:sz w:val="20"/>
        </w:rPr>
        <w:t>No se presenta ningún contrato detallado o cálculo como implementado antes de su diseño y validación.</w:t>
      </w:r>
    </w:p>
    <w:p>
      <w:pPr>
        <w:spacing w:after="80"/>
        <w:ind w:left="259" w:hanging="259"/>
      </w:pPr>
      <w:r>
        <w:rPr>
          <w:rFonts w:ascii="Liberation Sans" w:hAnsi="Liberation Sans" w:eastAsia="Liberation Sans"/>
          <w:b/>
          <w:i w:val="0"/>
          <w:color w:val="0B8C8C"/>
          <w:sz w:val="22"/>
        </w:rPr>
        <w:t xml:space="preserve">☐ </w:t>
      </w:r>
      <w:r>
        <w:rPr>
          <w:rFonts w:ascii="Liberation Sans" w:hAnsi="Liberation Sans" w:eastAsia="Liberation Sans"/>
          <w:b w:val="0"/>
          <w:i w:val="0"/>
          <w:sz w:val="20"/>
        </w:rPr>
        <w:t>AOS Viewer sigue siendo el último banco visible.</w:t>
      </w:r>
    </w:p>
    <w:p>
      <w:pPr>
        <w:spacing w:after="80"/>
        <w:ind w:left="259" w:hanging="259"/>
      </w:pPr>
      <w:r>
        <w:rPr>
          <w:rFonts w:ascii="Liberation Sans" w:hAnsi="Liberation Sans" w:eastAsia="Liberation Sans"/>
          <w:b/>
          <w:i w:val="0"/>
          <w:color w:val="0B8C8C"/>
          <w:sz w:val="22"/>
        </w:rPr>
        <w:t xml:space="preserve">☐ </w:t>
      </w:r>
      <w:r>
        <w:rPr>
          <w:rFonts w:ascii="Liberation Sans" w:hAnsi="Liberation Sans" w:eastAsia="Liberation Sans"/>
          <w:b w:val="0"/>
          <w:i w:val="0"/>
          <w:sz w:val="20"/>
        </w:rPr>
        <w:t>No se modifica la física de los solvers en esta enmienda.</w:t>
      </w:r>
    </w:p>
    <w:p>
      <w:pPr>
        <w:pStyle w:val="Heading1"/>
        <w:keepNext/>
        <w:spacing w:before="300" w:after="140"/>
        <w:pBdr>
          <w:bottom w:val="single" w:sz="6" w:space="5" w:color="8CAFC4"/>
        </w:pBdr>
      </w:pPr>
      <w:r>
        <w:rPr>
          <w:rFonts w:ascii="Liberation Sans" w:hAnsi="Liberation Sans" w:eastAsia="Liberation Sans"/>
          <w:b/>
          <w:i w:val="0"/>
          <w:color w:val="0B2A3D"/>
          <w:sz w:val="32"/>
        </w:rPr>
        <w:t>12. Decisiones diferidas</w:t>
      </w:r>
    </w:p>
    <w:p>
      <w:pPr>
        <w:widowControl/>
        <w:spacing w:after="120" w:line="269" w:lineRule="auto"/>
      </w:pPr>
      <w:r>
        <w:rPr>
          <w:rFonts w:ascii="Liberation Sans" w:hAnsi="Liberation Sans" w:eastAsia="Liberation Sans"/>
          <w:b w:val="0"/>
          <w:i w:val="0"/>
        </w:rPr>
        <w:t>Quedan fuera de este ADR y requerirán documentos, benchmarks y pruebas propios:</w:t>
      </w:r>
    </w:p>
    <w:p>
      <w:pPr>
        <w:pStyle w:val="ListBullet"/>
        <w:spacing w:after="60" w:line="259" w:lineRule="auto"/>
      </w:pPr>
      <w:r>
        <w:rPr>
          <w:rFonts w:ascii="Liberation Sans" w:hAnsi="Liberation Sans" w:eastAsia="Liberation Sans"/>
          <w:b w:val="0"/>
          <w:i w:val="0"/>
        </w:rPr>
        <w:t>schemas y campos definitivos;</w:t>
      </w:r>
    </w:p>
    <w:p>
      <w:pPr>
        <w:pStyle w:val="ListBullet"/>
        <w:spacing w:after="60" w:line="259" w:lineRule="auto"/>
      </w:pPr>
      <w:r>
        <w:rPr>
          <w:rFonts w:ascii="Liberation Sans" w:hAnsi="Liberation Sans" w:eastAsia="Liberation Sans"/>
          <w:b w:val="0"/>
          <w:i w:val="0"/>
        </w:rPr>
        <w:t>extensión o estructura de archivos ambientales;</w:t>
      </w:r>
    </w:p>
    <w:p>
      <w:pPr>
        <w:pStyle w:val="ListBullet"/>
        <w:spacing w:after="60" w:line="259" w:lineRule="auto"/>
      </w:pPr>
      <w:r>
        <w:rPr>
          <w:rFonts w:ascii="Liberation Sans" w:hAnsi="Liberation Sans" w:eastAsia="Liberation Sans"/>
          <w:b w:val="0"/>
          <w:i w:val="0"/>
        </w:rPr>
        <w:t>fuentes regulatorias de factores;</w:t>
      </w:r>
    </w:p>
    <w:p>
      <w:pPr>
        <w:pStyle w:val="ListBullet"/>
        <w:spacing w:after="60" w:line="259" w:lineRule="auto"/>
      </w:pPr>
      <w:r>
        <w:rPr>
          <w:rFonts w:ascii="Liberation Sans" w:hAnsi="Liberation Sans" w:eastAsia="Liberation Sans"/>
          <w:b w:val="0"/>
          <w:i w:val="0"/>
        </w:rPr>
        <w:t>horizonte temporal y potencial de calentamiento global;</w:t>
      </w:r>
    </w:p>
    <w:p>
      <w:pPr>
        <w:pStyle w:val="ListBullet"/>
        <w:spacing w:after="60" w:line="259" w:lineRule="auto"/>
      </w:pPr>
      <w:r>
        <w:rPr>
          <w:rFonts w:ascii="Liberation Sans" w:hAnsi="Liberation Sans" w:eastAsia="Liberation Sans"/>
          <w:b w:val="0"/>
          <w:i w:val="0"/>
        </w:rPr>
        <w:t>algoritmos de cuantificación de fugas;</w:t>
      </w:r>
    </w:p>
    <w:p>
      <w:pPr>
        <w:pStyle w:val="ListBullet"/>
        <w:spacing w:after="60" w:line="259" w:lineRule="auto"/>
      </w:pPr>
      <w:r>
        <w:rPr>
          <w:rFonts w:ascii="Liberation Sans" w:hAnsi="Liberation Sans" w:eastAsia="Liberation Sans"/>
          <w:b w:val="0"/>
          <w:i w:val="0"/>
        </w:rPr>
        <w:t>modelos de dispersión y exposición;</w:t>
      </w:r>
    </w:p>
    <w:p>
      <w:pPr>
        <w:pStyle w:val="ListBullet"/>
        <w:spacing w:after="60" w:line="259" w:lineRule="auto"/>
      </w:pPr>
      <w:r>
        <w:rPr>
          <w:rFonts w:ascii="Liberation Sans" w:hAnsi="Liberation Sans" w:eastAsia="Liberation Sans"/>
          <w:b w:val="0"/>
          <w:i w:val="0"/>
        </w:rPr>
        <w:t>matrices de riesgo;</w:t>
      </w:r>
    </w:p>
    <w:p>
      <w:pPr>
        <w:pStyle w:val="ListBullet"/>
        <w:spacing w:after="60" w:line="259" w:lineRule="auto"/>
      </w:pPr>
      <w:r>
        <w:rPr>
          <w:rFonts w:ascii="Liberation Sans" w:hAnsi="Liberation Sans" w:eastAsia="Liberation Sans"/>
          <w:b w:val="0"/>
          <w:i w:val="0"/>
        </w:rPr>
        <w:t>interfaz gráfica definitiva;</w:t>
      </w:r>
    </w:p>
    <w:p>
      <w:pPr>
        <w:pStyle w:val="ListBullet"/>
        <w:spacing w:after="60" w:line="259" w:lineRule="auto"/>
      </w:pPr>
      <w:r>
        <w:rPr>
          <w:rFonts w:ascii="Liberation Sans" w:hAnsi="Liberation Sans" w:eastAsia="Liberation Sans"/>
          <w:b w:val="0"/>
          <w:i w:val="0"/>
        </w:rPr>
        <w:t>criterios de promoción a BETA u OPERATIVO.</w:t>
      </w:r>
    </w:p>
    <w:p>
      <w:pPr>
        <w:pStyle w:val="Heading1"/>
        <w:keepNext/>
        <w:spacing w:before="300" w:after="140"/>
        <w:pBdr>
          <w:bottom w:val="single" w:sz="6" w:space="5" w:color="8CAFC4"/>
        </w:pBdr>
      </w:pPr>
      <w:r>
        <w:rPr>
          <w:rFonts w:ascii="Liberation Sans" w:hAnsi="Liberation Sans" w:eastAsia="Liberation Sans"/>
          <w:b/>
          <w:i w:val="0"/>
          <w:color w:val="0B2A3D"/>
          <w:sz w:val="32"/>
        </w:rPr>
        <w:t>13. Documentos de referencia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5DDE3"/>
          <w:left w:val="single" w:sz="6" w:space="0" w:color="D5DDE3"/>
          <w:bottom w:val="single" w:sz="6" w:space="0" w:color="D5DDE3"/>
          <w:right w:val="single" w:sz="6" w:space="0" w:color="D5DDE3"/>
          <w:insideH w:val="single" w:sz="6" w:space="0" w:color="D5DDE3"/>
          <w:insideV w:val="single" w:sz="6" w:space="0" w:color="D5DDE3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3528"/>
            <w:shd w:fill="0B2A3D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9"/>
              </w:rPr>
              <w:t>Documento</w:t>
            </w:r>
          </w:p>
        </w:tc>
        <w:tc>
          <w:tcPr>
            <w:tcW w:type="dxa" w:w="6192"/>
            <w:shd w:fill="0B2A3D"/>
            <w:tcMar>
              <w:top w:w="110" w:type="dxa"/>
              <w:start w:w="125" w:type="dxa"/>
              <w:bottom w:w="110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9"/>
              </w:rPr>
              <w:t>Uso en esta decisión</w:t>
            </w:r>
          </w:p>
        </w:tc>
      </w:tr>
      <w:tr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b/>
                <w:i w:val="0"/>
                <w:sz w:val="18"/>
              </w:rPr>
              <w:t>AOS-GOV-001, versión 1.0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Modelo de desarrollo distribuido y gobernanza técnica de AOS.</w:t>
            </w:r>
          </w:p>
        </w:tc>
      </w:tr>
      <w:tr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A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b/>
                <w:i w:val="0"/>
                <w:sz w:val="18"/>
              </w:rPr>
              <w:t>AOS-MAN-019-001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A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Documento de inicio, arquitectura y manual operativo de bancos de trabajo de AOS Suite 0.1.9.</w:t>
            </w:r>
          </w:p>
        </w:tc>
      </w:tr>
      <w:tr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b/>
                <w:i w:val="0"/>
                <w:sz w:val="18"/>
              </w:rPr>
              <w:t>AOS Suite 0.2.0 DEV1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Documento integral de contexto, continuidad y arranque de desarrollo distribuido.</w:t>
            </w:r>
          </w:p>
        </w:tc>
      </w:tr>
      <w:tr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A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b/>
                <w:sz w:val="18"/>
              </w:rPr>
              <w:t>Arquitectura AOS Environmental ENV-01</w:t>
            </w:r>
          </w:p>
        </w:tc>
        <w:tc>
          <w:tcPr>
            <w:tcW w:type="dxa" w:w="61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9FA"/>
          </w:tcPr>
          <w:p>
            <w:pPr>
              <w:spacing w:after="0" w:line="247" w:lineRule="auto"/>
            </w:pPr>
            <w:r>
              <w:rPr>
                <w:rFonts w:ascii="Liberation Sans" w:hAnsi="Liberation Sans" w:eastAsia="Liberation Sans"/>
                <w:b w:val="0"/>
                <w:i w:val="0"/>
                <w:sz w:val="18"/>
              </w:rPr>
              <w:t>Especificación de arquitectura del banco Environmental asociada a ENV-01.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2"/>
        <w:gridCol w:w="9576"/>
      </w:tblGrid>
      <w:tr>
        <w:tc>
          <w:tcPr>
            <w:tcW w:type="dxa" w:w="4997"/>
            <w:shd w:fill="1E5A8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4997"/>
            <w:shd w:fill="E8F2F7"/>
            <w:tcMar>
              <w:top w:w="145" w:type="dxa"/>
              <w:start w:w="180" w:type="dxa"/>
              <w:bottom w:w="145" w:type="dxa"/>
              <w:end w:w="180" w:type="dxa"/>
            </w:tcMar>
          </w:tcPr>
          <w:p>
            <w:pPr>
              <w:spacing w:after="80"/>
            </w:pPr>
            <w:r>
              <w:rPr>
                <w:rFonts w:ascii="Liberation Sans" w:hAnsi="Liberation Sans" w:eastAsia="Liberation Sans"/>
                <w:b/>
                <w:i w:val="0"/>
                <w:color w:val="1E5A85"/>
                <w:sz w:val="23"/>
              </w:rPr>
              <w:t>CIERRE</w:t>
            </w:r>
          </w:p>
          <w:p>
            <w:pPr>
              <w:spacing w:after="0" w:line="264" w:lineRule="auto"/>
            </w:pPr>
            <w:r>
              <w:rPr>
                <w:rFonts w:ascii="Liberation Sans" w:hAnsi="Liberation Sans" w:eastAsia="Liberation Sans"/>
                <w:b w:val="0"/>
                <w:i w:val="0"/>
                <w:sz w:val="21"/>
              </w:rPr>
              <w:t>La enmienda ENV-01 formaliza la arquitectura. El siguiente paso autorizado es diseñar los contratos de datos; no corresponde implementar código runtime ni ecuaciones antes de aprobar esos contratos.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36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Liberation Sans" w:hAnsi="Liberation Sans" w:eastAsia="Liberation Sans"/>
        <w:b w:val="0"/>
        <w:i w:val="0"/>
        <w:color w:val="6B7780"/>
        <w:sz w:val="16"/>
      </w:rPr>
      <w:t xml:space="preserve">Uso interno AESIR   |   ADR-AOS-2026-001   |   ENV-01   |  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 w:eastAsia="Liberation Sans"/>
        <w:b/>
        <w:i w:val="0"/>
        <w:color w:val="1E5A85"/>
        <w:sz w:val="17"/>
      </w:rPr>
      <w:t>AESIR | AOS — Decisión de arquitectura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Liberation Sans" w:hAnsi="Liberation Sans" w:eastAsia="Liberation Sans"/>
      <w:color w:val="1E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B2A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B8C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E5A8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 w:eastAsia="Liberation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 w:eastAsia="Liberation San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 w:eastAsia="Liberation San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 w:eastAsia="Liberation Sans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ADR-AOS-2026-001 — AOS Environmental como banco independiente</dc:title>
  <dc:subject>Decisión de arquitectura ENV-01 para AOS Suite 0.2.0 DEV1</dc:subject>
  <dc:creator>AESIR / Architecture Owner de AOS</dc:creator>
  <cp:keywords>AOS, Environmental, ENV-01, ADR, AOSCAD, HSE, emisiones, derrames</cp:keywords>
  <dc:description>Documento de arquitectura; no modifica runtime.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