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rPr>
          <w:rFonts w:ascii="Calibri" w:hAnsi="Calibri"/>
          <w:b w:val="1"/>
          <w:bCs w:val="1"/>
          <w:outline w:val="0"/>
          <w:color w:val="1f3864"/>
          <w:sz w:val="48"/>
          <w:szCs w:val="48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FREIGHT RATE PREDICTION</w:t>
      </w:r>
    </w:p>
    <w:p>
      <w:pPr>
        <w:pStyle w:val="Body"/>
        <w:bidi w:val="0"/>
      </w:pPr>
      <w:r>
        <w:rPr>
          <w:rFonts w:ascii="Calibri" w:hAnsi="Calibri"/>
          <w:outline w:val="0"/>
          <w:color w:val="2e5395"/>
          <w:sz w:val="30"/>
          <w:szCs w:val="30"/>
          <w:u w:color="2e5395"/>
          <w:rtl w:val="0"/>
          <w:lang w:val="fr-FR"/>
          <w14:textFill>
            <w14:solidFill>
              <w14:srgbClr w14:val="2E5395"/>
            </w14:solidFill>
          </w14:textFill>
        </w:rPr>
        <w:t>Final Report</w:t>
      </w:r>
    </w:p>
    <w:p>
      <w:pPr>
        <w:pStyle w:val="Body"/>
        <w:bidi w:val="0"/>
      </w:pPr>
      <w:r>
        <w:rPr>
          <w:rFonts w:ascii="Calibri" w:hAnsi="Calibri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 xml:space="preserve">Model: HistGradientBoostingRegressor </w:t>
      </w:r>
      <w:r>
        <w:rPr>
          <w:rFonts w:ascii="Calibri" w:hAnsi="Calibri" w:hint="default"/>
          <w:outline w:val="0"/>
          <w:color w:val="595959"/>
          <w:sz w:val="21"/>
          <w:szCs w:val="21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 xml:space="preserve">· </w:t>
      </w:r>
      <w:r>
        <w:rPr>
          <w:rFonts w:ascii="Calibri" w:hAnsi="Calibri"/>
          <w:outline w:val="0"/>
          <w:color w:val="595959"/>
          <w:sz w:val="21"/>
          <w:szCs w:val="21"/>
          <w:u w:color="595959"/>
          <w:rtl w:val="0"/>
          <w:lang w:val="fr-FR"/>
          <w14:textFill>
            <w14:solidFill>
              <w14:srgbClr w14:val="595959"/>
            </w14:solidFill>
          </w14:textFill>
        </w:rPr>
        <w:t>Rate-per-Mile Target</w:t>
      </w:r>
    </w:p>
    <w:p>
      <w:pPr>
        <w:pStyle w:val="Body"/>
        <w:bidi w:val="0"/>
      </w:pPr>
      <w:r>
        <w:rPr>
          <w:rFonts w:ascii="Calibri" w:hAnsi="Calibri"/>
          <w:i w:val="1"/>
          <w:i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Holdout R</w:t>
      </w:r>
      <w:r>
        <w:rPr>
          <w:rFonts w:ascii="Calibri" w:hAnsi="Calibri" w:hint="default"/>
          <w:i w:val="1"/>
          <w:iCs w:val="1"/>
          <w:outline w:val="0"/>
          <w:color w:val="595959"/>
          <w:sz w:val="21"/>
          <w:szCs w:val="21"/>
          <w:u w:color="595959"/>
          <w:rtl w:val="0"/>
          <w14:textFill>
            <w14:solidFill>
              <w14:srgbClr w14:val="595959"/>
            </w14:solidFill>
          </w14:textFill>
        </w:rPr>
        <w:t xml:space="preserve">² </w:t>
      </w:r>
      <w:r>
        <w:rPr>
          <w:rFonts w:ascii="Calibri" w:hAnsi="Calibri"/>
          <w:i w:val="1"/>
          <w:iCs w:val="1"/>
          <w:outline w:val="0"/>
          <w:color w:val="595959"/>
          <w:sz w:val="21"/>
          <w:szCs w:val="21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0.826  |  MAE $115.01  |  RMSE $635.95</w:t>
      </w:r>
    </w:p>
    <w:p>
      <w:pPr>
        <w:pStyle w:val="Body"/>
        <w:bidi w:val="0"/>
        <w:sectPr>
          <w:headerReference w:type="default" r:id="rId4"/>
          <w:footerReference w:type="default" r:id="rId5"/>
          <w:pgSz w:w="12240" w:h="15840" w:orient="portrait"/>
          <w:pgMar w:top="1080" w:right="1080" w:bottom="1080" w:left="1080" w:header="708" w:footer="708"/>
          <w:bidi w:val="0"/>
        </w:sectPr>
      </w:pP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nl-NL"/>
          <w14:textFill>
            <w14:solidFill>
              <w14:srgbClr w14:val="1F3864"/>
            </w14:solidFill>
          </w14:textFill>
        </w:rPr>
        <w:t>1. Data Overview</w:t>
      </w: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400"/>
        <w:gridCol w:w="1500"/>
        <w:gridCol w:w="2900"/>
        <w:gridCol w:w="1550"/>
      </w:tblGrid>
      <w:tr>
        <w:tblPrEx>
          <w:shd w:val="clear" w:color="auto" w:fill="4f81bd"/>
        </w:tblPrEx>
        <w:trPr>
          <w:trHeight w:val="188" w:hRule="atLeast"/>
          <w:tblHeader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Dataset</w:t>
            </w:r>
          </w:p>
        </w:tc>
        <w:tc>
          <w:tcPr>
            <w:tcW w:type="dxa" w:w="1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Rows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Date Range</w:t>
            </w:r>
          </w:p>
        </w:tc>
        <w:tc>
          <w:tcPr>
            <w:tcW w:type="dxa" w:w="15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Target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train-test.csv</w:t>
            </w:r>
          </w:p>
        </w:tc>
        <w:tc>
          <w:tcPr>
            <w:tcW w:type="dxa" w:w="1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48,000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Jan 1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–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Oct 31, 2025</w:t>
            </w:r>
          </w:p>
        </w:tc>
        <w:tc>
          <w:tcPr>
            <w:tcW w:type="dxa" w:w="15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posted_rate 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✅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it-IT"/>
                <w14:textFill>
                  <w14:solidFill>
                    <w14:srgbClr w14:val="1A1A1A"/>
                  </w14:solidFill>
                </w14:textFill>
              </w:rPr>
              <w:t>validation.csv</w:t>
            </w:r>
          </w:p>
        </w:tc>
        <w:tc>
          <w:tcPr>
            <w:tcW w:type="dxa" w:w="1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12,000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Nov 1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–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fr-FR"/>
                <w14:textFill>
                  <w14:solidFill>
                    <w14:srgbClr w14:val="1A1A1A"/>
                  </w14:solidFill>
                </w14:textFill>
              </w:rPr>
              <w:t>Dec 31, 2025</w:t>
            </w:r>
          </w:p>
        </w:tc>
        <w:tc>
          <w:tcPr>
            <w:tcW w:type="dxa" w:w="15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(to predict)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34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december-chart-inputs.csv</w:t>
            </w:r>
          </w:p>
        </w:tc>
        <w:tc>
          <w:tcPr>
            <w:tcW w:type="dxa" w:w="1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31</w:t>
            </w:r>
          </w:p>
        </w:tc>
        <w:tc>
          <w:tcPr>
            <w:tcW w:type="dxa" w:w="2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fr-FR"/>
                <w14:textFill>
                  <w14:solidFill>
                    <w14:srgbClr w14:val="1A1A1A"/>
                  </w14:solidFill>
                </w14:textFill>
              </w:rPr>
              <w:t>Dec 1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–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31, 2025</w:t>
            </w:r>
          </w:p>
        </w:tc>
        <w:tc>
          <w:tcPr>
            <w:tcW w:type="dxa" w:w="15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Fixed scenario</w:t>
            </w:r>
          </w:p>
        </w:tc>
      </w:tr>
    </w:tbl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  <w:r>
        <w:rPr>
          <w:rFonts w:ascii="Calibri" w:hAnsi="Calibri"/>
          <w:outline w:val="0"/>
          <w:color w:val="444444"/>
          <w:sz w:val="21"/>
          <w:szCs w:val="21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Columns: load_id, pickup, delivery, pickup_lat/lon, delivery_lat/lon, distance, equipment, weight, date, market_index, quote_signal (plus posted_rate in the training set).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 xml:space="preserve">2. Exploratory Data Analysis </w:t>
      </w:r>
      <w:r>
        <w:rPr>
          <w:rFonts w:ascii="Calibri" w:hAnsi="Calibri" w:hint="default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 xml:space="preserve">— </w:t>
      </w: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Key Findings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Target Distribution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 xml:space="preserve">Mean posted rate: </w:t>
      </w:r>
      <w:r>
        <w:rPr>
          <w:rFonts w:ascii="Calibri" w:hAnsi="Calibri"/>
          <w:b w:val="1"/>
          <w:bCs w:val="1"/>
          <w:sz w:val="21"/>
          <w:szCs w:val="21"/>
          <w:rtl w:val="0"/>
          <w:lang w:val="en-US"/>
        </w:rPr>
        <w:t>$2,374</w:t>
      </w:r>
      <w:r>
        <w:rPr>
          <w:rFonts w:ascii="Calibri" w:hAnsi="Calibri"/>
          <w:sz w:val="21"/>
          <w:szCs w:val="21"/>
          <w:rtl w:val="0"/>
          <w:lang w:val="de-DE"/>
        </w:rPr>
        <w:t xml:space="preserve">  |  Median: </w:t>
      </w:r>
      <w:r>
        <w:rPr>
          <w:rFonts w:ascii="Calibri" w:hAnsi="Calibri"/>
          <w:b w:val="1"/>
          <w:bCs w:val="1"/>
          <w:sz w:val="21"/>
          <w:szCs w:val="21"/>
          <w:rtl w:val="0"/>
          <w:lang w:val="en-US"/>
        </w:rPr>
        <w:t>$2,031</w:t>
      </w:r>
      <w:r>
        <w:rPr>
          <w:rFonts w:ascii="Calibri" w:hAnsi="Calibri"/>
          <w:sz w:val="21"/>
          <w:szCs w:val="21"/>
          <w:rtl w:val="0"/>
          <w:lang w:val="de-DE"/>
        </w:rPr>
        <w:t xml:space="preserve">  |  Std: </w:t>
      </w:r>
      <w:r>
        <w:rPr>
          <w:rFonts w:ascii="Calibri" w:hAnsi="Calibri"/>
          <w:b w:val="1"/>
          <w:bCs w:val="1"/>
          <w:sz w:val="21"/>
          <w:szCs w:val="21"/>
          <w:rtl w:val="0"/>
          <w:lang w:val="en-US"/>
        </w:rPr>
        <w:t>$1,486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Right-skewed distribution; a small fraction of long-haul loads drives the upper tail (max ~$25k).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Rate-per-mile is much tighter: median ~$2.15/mile, std $0.58.</w:t>
      </w:r>
    </w:p>
    <w:p>
      <w:pPr>
        <w:pStyle w:val="List Paragraph"/>
        <w:spacing w:after="8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Dominant Driver</w:t>
      </w:r>
    </w:p>
    <w:p>
      <w:pPr>
        <w:pStyle w:val="List Paragraph"/>
        <w:numPr>
          <w:ilvl w:val="0"/>
          <w:numId w:val="3"/>
        </w:numPr>
        <w:spacing w:after="80"/>
        <w:rPr>
          <w:lang w:val="fr-FR"/>
        </w:rPr>
      </w:pPr>
      <w:r>
        <w:rPr>
          <w:rFonts w:ascii="Consolas" w:cs="Consolas" w:hAnsi="Consolas" w:eastAsia="Consolas"/>
          <w:b w:val="1"/>
          <w:bCs w:val="1"/>
          <w:rtl w:val="0"/>
          <w:lang w:val="fr-FR"/>
        </w:rPr>
        <w:t>distance</w:t>
      </w:r>
      <w:r>
        <w:rPr>
          <w:rFonts w:ascii="Calibri" w:hAnsi="Calibri"/>
          <w:sz w:val="21"/>
          <w:szCs w:val="21"/>
          <w:rtl w:val="0"/>
          <w:lang w:val="en-US"/>
        </w:rPr>
        <w:t xml:space="preserve"> alone explains ~83% of variance in posted_rate (Pearson r = 0.91).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Predicting rate_per_mile and then multiplying by distance is therefore more stable and generalizes better across lane lengths.</w:t>
      </w:r>
    </w:p>
    <w:p>
      <w:pPr>
        <w:pStyle w:val="List Paragraph"/>
        <w:spacing w:after="8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Categorical Coverage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 xml:space="preserve">Equipment types: 3 classes (Dry Van, Flatbed, Reefer) </w:t>
      </w:r>
      <w:r>
        <w:rPr>
          <w:rFonts w:ascii="Calibri" w:hAnsi="Calibri" w:hint="default"/>
          <w:sz w:val="21"/>
          <w:szCs w:val="21"/>
          <w:rtl w:val="0"/>
          <w:lang w:val="en-US"/>
        </w:rPr>
        <w:t xml:space="preserve">— </w:t>
      </w:r>
      <w:r>
        <w:rPr>
          <w:rFonts w:ascii="Calibri" w:hAnsi="Calibri"/>
          <w:sz w:val="21"/>
          <w:szCs w:val="21"/>
          <w:rtl w:val="0"/>
          <w:lang w:val="en-US"/>
        </w:rPr>
        <w:t>fully shared between train and validation.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Cities: 64 unique in training; validation introduces 8 unseen cities, handled via coordinate-based features (haversine distance, bearing) that generalize to any city pair.</w:t>
      </w:r>
    </w:p>
    <w:p>
      <w:pPr>
        <w:pStyle w:val="List Paragraph"/>
        <w:spacing w:after="8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Missing Values</w:t>
      </w: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000"/>
        <w:gridCol w:w="2675"/>
        <w:gridCol w:w="2675"/>
      </w:tblGrid>
      <w:tr>
        <w:tblPrEx>
          <w:shd w:val="clear" w:color="auto" w:fill="4f81bd"/>
        </w:tblPrEx>
        <w:trPr>
          <w:trHeight w:val="188" w:hRule="atLeast"/>
          <w:tblHeader/>
        </w:trPr>
        <w:tc>
          <w:tcPr>
            <w:tcW w:type="dxa" w:w="4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Column</w:t>
            </w:r>
          </w:p>
        </w:tc>
        <w:tc>
          <w:tcPr>
            <w:tcW w:type="dxa" w:w="2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Train</w:t>
            </w:r>
          </w:p>
        </w:tc>
        <w:tc>
          <w:tcPr>
            <w:tcW w:type="dxa" w:w="2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Validation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4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weight</w:t>
            </w:r>
          </w:p>
        </w:tc>
        <w:tc>
          <w:tcPr>
            <w:tcW w:type="dxa" w:w="2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300 (0.6%)</w:t>
            </w:r>
          </w:p>
        </w:tc>
        <w:tc>
          <w:tcPr>
            <w:tcW w:type="dxa" w:w="2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165 (1.4%)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40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market_index</w:t>
            </w:r>
          </w:p>
        </w:tc>
        <w:tc>
          <w:tcPr>
            <w:tcW w:type="dxa" w:w="2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374 (0.8%)</w:t>
            </w:r>
          </w:p>
        </w:tc>
        <w:tc>
          <w:tcPr>
            <w:tcW w:type="dxa" w:w="2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249 (2.1%)</w:t>
            </w:r>
          </w:p>
        </w:tc>
      </w:tr>
    </w:tbl>
    <w:p>
      <w:pPr>
        <w:pStyle w:val="List Paragraph"/>
        <w:widowControl w:val="0"/>
        <w:spacing w:after="80"/>
      </w:pPr>
    </w:p>
    <w:p>
      <w:pPr>
        <w:pStyle w:val="List Paragraph"/>
        <w:widowControl w:val="0"/>
        <w:spacing w:after="80"/>
      </w:pPr>
    </w:p>
    <w:p>
      <w:pPr>
        <w:pStyle w:val="List Paragraph"/>
        <w:widowControl w:val="0"/>
        <w:spacing w:after="80"/>
      </w:pPr>
      <w:r>
        <w:rPr>
          <w:rFonts w:ascii="Calibri" w:hAnsi="Calibri"/>
          <w:outline w:val="0"/>
          <w:color w:val="444444"/>
          <w:sz w:val="21"/>
          <w:szCs w:val="21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Imputed with the training-set median; HistGradientBoostingRegressor handles NaN natively as a further safety net.</w:t>
      </w:r>
    </w:p>
    <w:p>
      <w:pPr>
        <w:pStyle w:val="List Paragraph"/>
        <w:widowControl w:val="0"/>
        <w:spacing w:after="8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Market &amp; Temporal Signals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market_index peaks in Apr</w:t>
      </w:r>
      <w:r>
        <w:rPr>
          <w:rFonts w:ascii="Calibri" w:hAnsi="Calibri" w:hint="default"/>
          <w:sz w:val="21"/>
          <w:szCs w:val="21"/>
          <w:rtl w:val="0"/>
        </w:rPr>
        <w:t>–</w:t>
      </w:r>
      <w:r>
        <w:rPr>
          <w:rFonts w:ascii="Calibri" w:hAnsi="Calibri"/>
          <w:sz w:val="21"/>
          <w:szCs w:val="21"/>
          <w:rtl w:val="0"/>
          <w:lang w:val="en-US"/>
        </w:rPr>
        <w:t xml:space="preserve">May (~1.3) and dips in Sep (~0.89) </w:t>
      </w:r>
      <w:r>
        <w:rPr>
          <w:rFonts w:ascii="Calibri" w:hAnsi="Calibri" w:hint="default"/>
          <w:sz w:val="21"/>
          <w:szCs w:val="21"/>
          <w:rtl w:val="0"/>
          <w:lang w:val="en-US"/>
        </w:rPr>
        <w:t xml:space="preserve">— </w:t>
      </w:r>
      <w:r>
        <w:rPr>
          <w:rFonts w:ascii="Calibri" w:hAnsi="Calibri"/>
          <w:sz w:val="21"/>
          <w:szCs w:val="21"/>
          <w:rtl w:val="0"/>
          <w:lang w:val="en-US"/>
        </w:rPr>
        <w:t>a seasonal freight demand pattern.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Validation period (Nov</w:t>
      </w:r>
      <w:r>
        <w:rPr>
          <w:rFonts w:ascii="Calibri" w:hAnsi="Calibri" w:hint="default"/>
          <w:sz w:val="21"/>
          <w:szCs w:val="21"/>
          <w:rtl w:val="0"/>
        </w:rPr>
        <w:t>–</w:t>
      </w:r>
      <w:r>
        <w:rPr>
          <w:rFonts w:ascii="Calibri" w:hAnsi="Calibri"/>
          <w:sz w:val="21"/>
          <w:szCs w:val="21"/>
          <w:rtl w:val="0"/>
          <w:lang w:val="en-US"/>
        </w:rPr>
        <w:t>Dec) market_index ~0.93, similar to Sep</w:t>
      </w:r>
      <w:r>
        <w:rPr>
          <w:rFonts w:ascii="Calibri" w:hAnsi="Calibri" w:hint="default"/>
          <w:sz w:val="21"/>
          <w:szCs w:val="21"/>
          <w:rtl w:val="0"/>
        </w:rPr>
        <w:t>–</w:t>
      </w:r>
      <w:r>
        <w:rPr>
          <w:rFonts w:ascii="Calibri" w:hAnsi="Calibri"/>
          <w:sz w:val="21"/>
          <w:szCs w:val="21"/>
          <w:rtl w:val="0"/>
          <w:lang w:val="en-US"/>
        </w:rPr>
        <w:t>Oct, indicating no major distribution shift.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3. Validation Strategy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Why a Time-Based Split?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Freight rates exhibit strong temporal autocorrelation (weekly and seasonal cycles). A random split would leak future market conditions into training, producing over-optimistic estimates.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14:textFill>
            <w14:solidFill>
              <w14:srgbClr w14:val="595959"/>
            </w14:solidFill>
          </w14:textFill>
        </w:rPr>
        <w:t>Split Used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 xml:space="preserve">Training fold  : Jan 1, 2025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t xml:space="preserve">–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Aug 31, 2025  (38,477 loads)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14:textFill>
            <w14:solidFill>
              <w14:srgbClr w14:val="3A3A3A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 xml:space="preserve">Holdout fold   : Sep 1, 2025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t xml:space="preserve">–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Oct 31, 2025   (9,523 loads)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This directly mimics the final deployment scenario, where the model sees Jan</w:t>
      </w:r>
      <w:r>
        <w:rPr>
          <w:rFonts w:ascii="Calibri" w:hAnsi="Calibri" w:hint="default"/>
          <w:outline w:val="0"/>
          <w:color w:val="000000"/>
          <w:sz w:val="21"/>
          <w:szCs w:val="21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Calibri" w:hAnsi="Calibri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Oct data and must predict Nov</w:t>
      </w:r>
      <w:r>
        <w:rPr>
          <w:rFonts w:ascii="Calibri" w:hAnsi="Calibri" w:hint="default"/>
          <w:outline w:val="0"/>
          <w:color w:val="000000"/>
          <w:sz w:val="21"/>
          <w:szCs w:val="21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Calibri" w:hAnsi="Calibri"/>
          <w:outline w:val="0"/>
          <w:color w:val="000000"/>
          <w:sz w:val="21"/>
          <w:szCs w:val="21"/>
          <w:u w:color="000000"/>
          <w:rtl w:val="0"/>
          <w14:textFill>
            <w14:solidFill>
              <w14:srgbClr w14:val="000000"/>
            </w14:solidFill>
          </w14:textFill>
        </w:rPr>
        <w:t>Dec.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4. Feature Engineering</w:t>
      </w: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500"/>
        <w:gridCol w:w="6850"/>
      </w:tblGrid>
      <w:tr>
        <w:tblPrEx>
          <w:shd w:val="clear" w:color="auto" w:fill="4f81bd"/>
        </w:tblPrEx>
        <w:trPr>
          <w:trHeight w:val="188" w:hRule="atLeast"/>
          <w:tblHeader/>
        </w:trPr>
        <w:tc>
          <w:tcPr>
            <w:tcW w:type="dxa" w:w="2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Feature Group</w:t>
            </w:r>
          </w:p>
        </w:tc>
        <w:tc>
          <w:tcPr>
            <w:tcW w:type="dxa" w:w="6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Features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Geospatial</w:t>
            </w:r>
          </w:p>
        </w:tc>
        <w:tc>
          <w:tcPr>
            <w:tcW w:type="dxa" w:w="6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haversine miles, compass bearing, distance diff vs haversine, circuitous routing ratio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Distance transforms</w:t>
            </w:r>
          </w:p>
        </w:tc>
        <w:tc>
          <w:tcPr>
            <w:tcW w:type="dxa" w:w="6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fr-FR"/>
                <w14:textFill>
                  <w14:solidFill>
                    <w14:srgbClr w14:val="1A1A1A"/>
                  </w14:solidFill>
                </w14:textFill>
              </w:rPr>
              <w:t>log(distance+1), sqrt(distance)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Weight</w:t>
            </w:r>
          </w:p>
        </w:tc>
        <w:tc>
          <w:tcPr>
            <w:tcW w:type="dxa" w:w="6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log(weight+1), dist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×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weight, weight / distance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Market / Quote</w:t>
            </w:r>
          </w:p>
        </w:tc>
        <w:tc>
          <w:tcPr>
            <w:tcW w:type="dxa" w:w="6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market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×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quote, market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×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fr-FR"/>
                <w14:textFill>
                  <w14:solidFill>
                    <w14:srgbClr w14:val="1A1A1A"/>
                  </w14:solidFill>
                </w14:textFill>
              </w:rPr>
              <w:t xml:space="preserve">distance, quote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 xml:space="preserve">×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fr-FR"/>
                <w14:textFill>
                  <w14:solidFill>
                    <w14:srgbClr w14:val="1A1A1A"/>
                  </w14:solidFill>
                </w14:textFill>
              </w:rPr>
              <w:t>distance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2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it-IT"/>
                <w14:textFill>
                  <w14:solidFill>
                    <w14:srgbClr w14:val="1A1A1A"/>
                  </w14:solidFill>
                </w14:textFill>
              </w:rPr>
              <w:t>Temporal</w:t>
            </w:r>
          </w:p>
        </w:tc>
        <w:tc>
          <w:tcPr>
            <w:tcW w:type="dxa" w:w="6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month, day, day-of-week, day-of-year, is_weekend, sin/cos cyclical encodings</w:t>
            </w:r>
          </w:p>
        </w:tc>
      </w:tr>
      <w:tr>
        <w:tblPrEx>
          <w:shd w:val="clear" w:color="auto" w:fill="ced7e7"/>
        </w:tblPrEx>
        <w:trPr>
          <w:trHeight w:val="529" w:hRule="atLeast"/>
        </w:trPr>
        <w:tc>
          <w:tcPr>
            <w:tcW w:type="dxa" w:w="25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Target encoding</w:t>
            </w:r>
          </w:p>
        </w:tc>
        <w:tc>
          <w:tcPr>
            <w:tcW w:type="dxa" w:w="6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Smoothed rate-per-mile mean by pickup city, delivery city, equipment (prior weight = 15 loads)</w:t>
            </w:r>
          </w:p>
        </w:tc>
      </w:tr>
    </w:tbl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  <w:r>
        <w:rPr>
          <w:rFonts w:ascii="Calibri" w:hAnsi="Calibri"/>
          <w:i w:val="1"/>
          <w:iCs w:val="1"/>
          <w:outline w:val="0"/>
          <w:color w:val="444444"/>
          <w:sz w:val="21"/>
          <w:szCs w:val="21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Total: 36 features. No one-hot encoding is needed </w:t>
      </w:r>
      <w:r>
        <w:rPr>
          <w:rFonts w:ascii="Calibri" w:hAnsi="Calibri" w:hint="default"/>
          <w:i w:val="1"/>
          <w:iCs w:val="1"/>
          <w:outline w:val="0"/>
          <w:color w:val="444444"/>
          <w:sz w:val="21"/>
          <w:szCs w:val="21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 xml:space="preserve">— </w:t>
      </w:r>
      <w:r>
        <w:rPr>
          <w:rFonts w:ascii="Calibri" w:hAnsi="Calibri"/>
          <w:i w:val="1"/>
          <w:iCs w:val="1"/>
          <w:outline w:val="0"/>
          <w:color w:val="444444"/>
          <w:sz w:val="21"/>
          <w:szCs w:val="21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HistGradientBoostingRegressor handles native categoricals directly.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5. Model Selection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Candidates Evaluated (time-based holdout)</w:t>
      </w: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00"/>
        <w:gridCol w:w="1450"/>
        <w:gridCol w:w="1450"/>
        <w:gridCol w:w="1350"/>
      </w:tblGrid>
      <w:tr>
        <w:tblPrEx>
          <w:shd w:val="clear" w:color="auto" w:fill="4f81bd"/>
        </w:tblPrEx>
        <w:trPr>
          <w:trHeight w:val="188" w:hRule="atLeast"/>
          <w:tblHeader/>
        </w:trPr>
        <w:tc>
          <w:tcPr>
            <w:tcW w:type="dxa" w:w="51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Model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MAE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RMSE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R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²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51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HistGB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fr-FR"/>
                <w14:textFill>
                  <w14:solidFill>
                    <w14:srgbClr w14:val="1A1A1A"/>
                  </w14:solidFill>
                </w14:textFill>
              </w:rPr>
              <w:t>rate-per-mile, L1 (absolute_error)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$115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$636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0.826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51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HistGB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rate-per-mile, L2 (squared_error)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$133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$639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0.825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51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HistGB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direct posted_rate, L1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$121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$639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0.825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51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HistGB 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direct posted_rate, L2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$159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$647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0.820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51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Weighted ensemble (all four)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$121</w:t>
            </w:r>
          </w:p>
        </w:tc>
        <w:tc>
          <w:tcPr>
            <w:tcW w:type="dxa" w:w="14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$640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0.824</w:t>
            </w:r>
          </w:p>
        </w:tc>
      </w:tr>
    </w:tbl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50"/>
      </w:tblGrid>
      <w:tr>
        <w:tblPrEx>
          <w:shd w:val="clear" w:color="auto" w:fill="ced7e7"/>
        </w:tblPrEx>
        <w:trPr>
          <w:trHeight w:val="689" w:hRule="atLeast"/>
        </w:trPr>
        <w:tc>
          <w:tcPr>
            <w:tcW w:type="dxa" w:w="9350"/>
            <w:tcBorders>
              <w:top w:val="single" w:color="000000" w:sz="4" w:space="0" w:shadow="0" w:frame="0"/>
              <w:left w:val="single" w:color="1e7b34" w:sz="2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df3e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1e7b34"/>
                <w:sz w:val="21"/>
                <w:szCs w:val="21"/>
                <w:u w:color="1e7b34"/>
                <w:shd w:val="nil" w:color="auto" w:fill="auto"/>
                <w:rtl w:val="0"/>
                <w:lang w:val="de-DE"/>
                <w14:textFill>
                  <w14:solidFill>
                    <w14:srgbClr w14:val="1E7B34"/>
                  </w14:solidFill>
                </w14:textFill>
              </w:rPr>
              <w:t>Winner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Calibri" w:hAnsi="Calibri"/>
                <w:outline w:val="0"/>
                <w:color w:val="333333"/>
                <w:sz w:val="20"/>
                <w:szCs w:val="20"/>
                <w:u w:color="333333"/>
                <w:shd w:val="nil" w:color="auto" w:fill="auto"/>
                <w:rtl w:val="0"/>
                <w:lang w:val="en-US"/>
                <w14:textFill>
                  <w14:solidFill>
                    <w14:srgbClr w14:val="333333"/>
                  </w14:solidFill>
                </w14:textFill>
              </w:rPr>
              <w:t>HistGradientBoostingRegressor with loss="absolute_error" trained on the rate-per-mile target.</w:t>
            </w:r>
          </w:p>
        </w:tc>
      </w:tr>
    </w:tbl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Why HistGradientBoosting?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Natively handles missing values (weight, market_index) without imputation.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 xml:space="preserve">Handles native categoricals (pickup, delivery, equipment) </w:t>
      </w:r>
      <w:r>
        <w:rPr>
          <w:rFonts w:ascii="Calibri" w:hAnsi="Calibri" w:hint="default"/>
          <w:sz w:val="21"/>
          <w:szCs w:val="21"/>
          <w:rtl w:val="0"/>
          <w:lang w:val="en-US"/>
        </w:rPr>
        <w:t xml:space="preserve">— </w:t>
      </w:r>
      <w:r>
        <w:rPr>
          <w:rFonts w:ascii="Calibri" w:hAnsi="Calibri"/>
          <w:sz w:val="21"/>
          <w:szCs w:val="21"/>
          <w:rtl w:val="0"/>
          <w:lang w:val="en-US"/>
        </w:rPr>
        <w:t>no encoding needed.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L1 (absolute error) loss is robust to outliers, such as long-haul loads with extreme rates.</w:t>
      </w:r>
    </w:p>
    <w:p>
      <w:pPr>
        <w:pStyle w:val="List Paragraph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rtl w:val="0"/>
          <w:lang w:val="en-US"/>
        </w:rPr>
        <w:t>n_iter_no_change=50 prevents overfitting on the training period.</w:t>
      </w:r>
    </w:p>
    <w:p>
      <w:pPr>
        <w:pStyle w:val="List Paragraph"/>
        <w:spacing w:after="8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Why Rate-per-Mile as the Target?</w:t>
      </w:r>
    </w:p>
    <w:p>
      <w:pPr>
        <w:pStyle w:val="List Paragraph"/>
        <w:spacing w:after="80"/>
      </w:pPr>
      <w:r>
        <w:rPr>
          <w:rFonts w:ascii="Calibri" w:hAnsi="Calibri"/>
          <w:sz w:val="21"/>
          <w:szCs w:val="21"/>
          <w:rtl w:val="0"/>
          <w:lang w:val="en-US"/>
        </w:rPr>
        <w:t>Normalizing by distance removes the scale dependency; the model learns lane-specific $/mile factors and then scales back. This gives a ~13% MAE improvement over direct prediction ($115 vs $133).</w:t>
      </w:r>
    </w:p>
    <w:p>
      <w:pPr>
        <w:pStyle w:val="List Paragraph"/>
        <w:spacing w:after="8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14:textFill>
            <w14:solidFill>
              <w14:srgbClr w14:val="595959"/>
            </w14:solidFill>
          </w14:textFill>
        </w:rPr>
        <w:t>Final Model Hyperparameters</w:t>
      </w:r>
    </w:p>
    <w:p>
      <w:pPr>
        <w:pStyle w:val="List Paragraph"/>
        <w:spacing w:after="80"/>
      </w:pP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it-IT"/>
          <w14:textFill>
            <w14:solidFill>
              <w14:srgbClr w14:val="3A3A3A"/>
            </w14:solidFill>
          </w14:textFill>
        </w:rPr>
        <w:t>HistGradientBoostingRegressor(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loss="absolute_error",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max_iter=700,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learning_rate=0.035,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de-DE"/>
          <w14:textFill>
            <w14:solidFill>
              <w14:srgbClr w14:val="3A3A3A"/>
            </w14:solidFill>
          </w14:textFill>
        </w:rPr>
        <w:t>max_leaf_nodes=63,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min_samples_leaf=20,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l2_regularization=0.5,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categorical_features=["pickup", "delivery", "equipment"],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random_state=42,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n_iter_no_change=50,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fr-FR"/>
          <w14:textFill>
            <w14:solidFill>
              <w14:srgbClr w14:val="3A3A3A"/>
            </w14:solidFill>
          </w14:textFill>
        </w:rPr>
        <w:t>validation_fraction=0.05,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14:textFill>
            <w14:solidFill>
              <w14:srgbClr w14:val="3A3A3A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t>)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6. Final Results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Holdout Performance (Sep</w:t>
      </w:r>
      <w:r>
        <w:rPr>
          <w:rFonts w:ascii="Calibri" w:hAnsi="Calibri" w:hint="default"/>
          <w:b w:val="1"/>
          <w:bCs w:val="1"/>
          <w:outline w:val="0"/>
          <w:color w:val="595959"/>
          <w:sz w:val="21"/>
          <w:szCs w:val="21"/>
          <w:u w:color="595959"/>
          <w:rtl w:val="0"/>
          <w14:textFill>
            <w14:solidFill>
              <w14:srgbClr w14:val="595959"/>
            </w14:solidFill>
          </w14:textFill>
        </w:rPr>
        <w:t>–</w:t>
      </w:r>
      <w:r>
        <w:rPr>
          <w:rFonts w:ascii="Calibri" w:hAnsi="Calibri"/>
          <w:b w:val="1"/>
          <w:bCs w:val="1"/>
          <w:outline w:val="0"/>
          <w:color w:val="595959"/>
          <w:sz w:val="21"/>
          <w:szCs w:val="21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Oct 2025)</w:t>
      </w: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5"/>
        <w:gridCol w:w="4675"/>
      </w:tblGrid>
      <w:tr>
        <w:tblPrEx>
          <w:shd w:val="clear" w:color="auto" w:fill="4f81bd"/>
        </w:tblPrEx>
        <w:trPr>
          <w:trHeight w:val="188" w:hRule="atLeast"/>
          <w:tblHeader/>
        </w:trPr>
        <w:tc>
          <w:tcPr>
            <w:tcW w:type="dxa" w:w="4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Metric</w:t>
            </w:r>
          </w:p>
        </w:tc>
        <w:tc>
          <w:tcPr>
            <w:tcW w:type="dxa" w:w="4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Value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4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de-DE"/>
                <w14:textFill>
                  <w14:solidFill>
                    <w14:srgbClr w14:val="1A1A1A"/>
                  </w14:solidFill>
                </w14:textFill>
              </w:rPr>
              <w:t>MAE</w:t>
            </w:r>
          </w:p>
        </w:tc>
        <w:tc>
          <w:tcPr>
            <w:tcW w:type="dxa" w:w="4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$115.01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4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de-DE"/>
                <w14:textFill>
                  <w14:solidFill>
                    <w14:srgbClr w14:val="1A1A1A"/>
                  </w14:solidFill>
                </w14:textFill>
              </w:rPr>
              <w:t>RMSE</w:t>
            </w:r>
          </w:p>
        </w:tc>
        <w:tc>
          <w:tcPr>
            <w:tcW w:type="dxa" w:w="4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:lang w:val="en-US"/>
                <w14:textFill>
                  <w14:solidFill>
                    <w14:srgbClr w14:val="1A1A1A"/>
                  </w14:solidFill>
                </w14:textFill>
              </w:rPr>
              <w:t>$635.95</w:t>
            </w:r>
          </w:p>
        </w:tc>
      </w:tr>
      <w:tr>
        <w:tblPrEx>
          <w:shd w:val="clear" w:color="auto" w:fill="ced7e7"/>
        </w:tblPrEx>
        <w:trPr>
          <w:trHeight w:val="226" w:hRule="atLeast"/>
        </w:trPr>
        <w:tc>
          <w:tcPr>
            <w:tcW w:type="dxa" w:w="4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R</w:t>
            </w:r>
            <w:r>
              <w:rPr>
                <w:rFonts w:ascii="Calibri" w:hAnsi="Calibri" w:hint="default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²</w:t>
            </w:r>
          </w:p>
        </w:tc>
        <w:tc>
          <w:tcPr>
            <w:tcW w:type="dxa" w:w="467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1a1a1a"/>
                <w:sz w:val="20"/>
                <w:szCs w:val="20"/>
                <w:u w:color="1a1a1a"/>
                <w:shd w:val="nil" w:color="auto" w:fill="auto"/>
                <w:rtl w:val="0"/>
                <w14:textFill>
                  <w14:solidFill>
                    <w14:srgbClr w14:val="1A1A1A"/>
                  </w14:solidFill>
                </w14:textFill>
              </w:rPr>
              <w:t>0.8263</w:t>
            </w:r>
          </w:p>
        </w:tc>
      </w:tr>
    </w:tbl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  <w:r>
        <w:rPr>
          <w:rFonts w:ascii="Calibri" w:hAnsi="Calibri"/>
          <w:outline w:val="0"/>
          <w:color w:val="444444"/>
          <w:sz w:val="21"/>
          <w:szCs w:val="21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Validation predictions: 12,000 rows saved to validation_predictions.csv.</w:t>
      </w:r>
    </w:p>
    <w:p>
      <w:pPr>
        <w:pStyle w:val="Heading"/>
        <w:widowControl w:val="0"/>
        <w:spacing w:before="360" w:after="160"/>
      </w:pPr>
    </w:p>
    <w:p>
      <w:pPr>
        <w:pStyle w:val="Heading"/>
        <w:widowControl w:val="0"/>
        <w:spacing w:before="360" w:after="160"/>
      </w:pPr>
      <w:r>
        <w:rPr>
          <w:rFonts w:ascii="Calibri" w:hAnsi="Calibri"/>
          <w:outline w:val="0"/>
          <w:color w:val="444444"/>
          <w:sz w:val="21"/>
          <w:szCs w:val="21"/>
          <w:u w:color="444444"/>
          <w:rtl w:val="0"/>
          <w:lang w:val="en-US"/>
          <w14:textFill>
            <w14:solidFill>
              <w14:srgbClr w14:val="444444"/>
            </w14:solidFill>
          </w14:textFill>
        </w:rPr>
        <w:t>How to regenerate this file and the December chart is documented in STEPS.md. In short:</w:t>
      </w:r>
    </w:p>
    <w:p>
      <w:pPr>
        <w:pStyle w:val="Heading"/>
        <w:widowControl w:val="0"/>
        <w:spacing w:before="360" w:after="160"/>
      </w:pP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da-DK"/>
          <w14:textFill>
            <w14:solidFill>
              <w14:srgbClr w14:val="3A3A3A"/>
            </w14:solidFill>
          </w14:textFill>
        </w:rPr>
        <w:t>uv run python src/train.py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14:textFill>
            <w14:solidFill>
              <w14:srgbClr w14:val="3A3A3A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uv run python score.py \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--predictions validation_predictions.csv \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14:textFill>
            <w14:solidFill>
              <w14:srgbClr w14:val="3A3A3A"/>
            </w14:solidFill>
          </w14:textFill>
        </w:rPr>
        <w:br w:type="textWrapping"/>
        <w:t xml:space="preserve">  </w:t>
      </w:r>
      <w:r>
        <w:rPr>
          <w:rFonts w:ascii="Consolas" w:cs="Consolas" w:hAnsi="Consolas" w:eastAsia="Consolas"/>
          <w:outline w:val="0"/>
          <w:color w:val="3a3a3a"/>
          <w:sz w:val="18"/>
          <w:szCs w:val="18"/>
          <w:u w:color="3a3a3a"/>
          <w:rtl w:val="0"/>
          <w:lang w:val="en-US"/>
          <w14:textFill>
            <w14:solidFill>
              <w14:srgbClr w14:val="3A3A3A"/>
            </w14:solidFill>
          </w14:textFill>
        </w:rPr>
        <w:t>--december-predictions data/december-chart-inputs.csv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7. Fixed December Prediction Chart</w:t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The chart below was produced by running score.py on the completed december-chart-inputs.csv. It shows predicted daily freight rates for the fixed Lexington </w:t>
      </w:r>
      <w:r>
        <w:rPr>
          <w:rFonts w:ascii="Calibri" w:hAnsi="Calibri" w:hint="default"/>
          <w:outline w:val="0"/>
          <w:color w:val="000000"/>
          <w:sz w:val="21"/>
          <w:szCs w:val="21"/>
          <w:u w:color="000000"/>
          <w:rtl w:val="0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ascii="Calibri" w:hAnsi="Calibri"/>
          <w:outline w:val="0"/>
          <w:color w:val="000000"/>
          <w:sz w:val="21"/>
          <w:szCs w:val="21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Fort Wayne, 360 mi, Dry Van, 32,000 lb scenario across all 31 December days.</w:t>
      </w:r>
      <w:r>
        <w:rPr>
          <w:rFonts w:ascii="Calibri" w:cs="Calibri" w:hAnsi="Calibri" w:eastAsia="Calibri"/>
          <w:outline w:val="0"/>
          <w:color w:val="000000"/>
          <w:sz w:val="21"/>
          <w:szCs w:val="21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-6350</wp:posOffset>
            </wp:positionH>
            <wp:positionV relativeFrom="line">
              <wp:posOffset>279400</wp:posOffset>
            </wp:positionV>
            <wp:extent cx="6400800" cy="2084756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31"/>
                <wp:lineTo x="0" y="21631"/>
                <wp:lineTo x="0" y="0"/>
              </wp:wrapPolygon>
            </wp:wrapThrough>
            <wp:docPr id="1073741825" name="officeArt object" descr="candidate_decembe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candidate_december.png" descr="candidate_december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8475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</w:p>
    <w:p>
      <w:pPr>
        <w:pStyle w:val="Heading"/>
        <w:widowControl w:val="0"/>
        <w:spacing w:before="360" w:after="160"/>
      </w:pPr>
    </w:p>
    <w:p>
      <w:pPr>
        <w:pStyle w:val="Heading"/>
        <w:pBdr>
          <w:top w:val="nil"/>
          <w:left w:val="nil"/>
          <w:bottom w:val="single" w:color="1f3864" w:sz="8" w:space="0" w:shadow="0" w:frame="0"/>
          <w:right w:val="nil"/>
        </w:pBdr>
        <w:spacing w:before="360" w:after="160"/>
      </w:pPr>
      <w:r>
        <w:rPr>
          <w:rFonts w:ascii="Calibri" w:hAnsi="Calibri"/>
          <w:b w:val="1"/>
          <w:bCs w:val="1"/>
          <w:outline w:val="0"/>
          <w:color w:val="1f3864"/>
          <w:sz w:val="30"/>
          <w:szCs w:val="30"/>
          <w:u w:color="1f3864"/>
          <w:rtl w:val="0"/>
          <w:lang w:val="en-US"/>
          <w14:textFill>
            <w14:solidFill>
              <w14:srgbClr w14:val="1F3864"/>
            </w14:solidFill>
          </w14:textFill>
        </w:rPr>
        <w:t>8. Loom Walkthrough</w:t>
      </w:r>
    </w:p>
    <w:p>
      <w:pPr>
        <w:pStyle w:val="Heading"/>
        <w:widowControl w:val="0"/>
        <w:spacing w:before="360" w:after="160"/>
      </w:pPr>
      <w:r>
        <w:rPr>
          <w:rtl w:val="0"/>
          <w:lang w:val="en-US"/>
        </w:rPr>
        <w:t>https://www.loom.com/share/5abd9212e76e46aa83e28ab3c76044ac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 Bold">
    <w:charset w:val="00"/>
    <w:family w:val="roman"/>
    <w:pitch w:val="default"/>
  </w:font>
  <w:font w:name="Cambria">
    <w:charset w:val="00"/>
    <w:family w:val="roman"/>
    <w:pitch w:val="default"/>
  </w:font>
  <w:font w:name="Consola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Calibri" w:hAnsi="Calibri"/>
        <w:outline w:val="0"/>
        <w:color w:val="999999"/>
        <w:sz w:val="16"/>
        <w:szCs w:val="16"/>
        <w:u w:color="999999"/>
        <w:rtl w:val="0"/>
        <w:lang w:val="da-DK"/>
        <w14:textFill>
          <w14:solidFill>
            <w14:srgbClr w14:val="999999"/>
          </w14:solidFill>
        </w14:textFill>
      </w:rPr>
      <w:t xml:space="preserve">Page </w:t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  <w:fldChar w:fldCharType="begin" w:fldLock="0"/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  <w:instrText xml:space="preserve"> PAGE </w:instrText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  <w:fldChar w:fldCharType="separate" w:fldLock="0"/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  <w:fldChar w:fldCharType="end" w:fldLock="0"/>
    </w:r>
    <w:r>
      <w:rPr>
        <w:rFonts w:ascii="Calibri" w:hAnsi="Calibri"/>
        <w:outline w:val="0"/>
        <w:color w:val="999999"/>
        <w:sz w:val="16"/>
        <w:szCs w:val="16"/>
        <w:u w:color="999999"/>
        <w:rtl w:val="0"/>
        <w:lang w:val="en-US"/>
        <w14:textFill>
          <w14:solidFill>
            <w14:srgbClr w14:val="999999"/>
          </w14:solidFill>
        </w14:textFill>
      </w:rPr>
      <w:t xml:space="preserve"> of </w:t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  <w:fldChar w:fldCharType="begin" w:fldLock="0"/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  <w:instrText xml:space="preserve"> NUMPAGES </w:instrText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  <w:fldChar w:fldCharType="separate" w:fldLock="0"/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</w:r>
    <w:r>
      <w:rPr>
        <w:rFonts w:ascii="Calibri" w:cs="Calibri" w:hAnsi="Calibri" w:eastAsia="Calibri"/>
        <w:outline w:val="0"/>
        <w:color w:val="999999"/>
        <w:sz w:val="16"/>
        <w:szCs w:val="16"/>
        <w:u w:color="999999"/>
        <w14:textFill>
          <w14:solidFill>
            <w14:srgbClr w14:val="999999"/>
          </w14:solidFill>
        </w14:textFill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Calibri" w:hAnsi="Calibri"/>
        <w:outline w:val="0"/>
        <w:color w:val="999999"/>
        <w:sz w:val="16"/>
        <w:szCs w:val="16"/>
        <w:u w:color="999999"/>
        <w:rtl w:val="0"/>
        <w:lang w:val="en-US"/>
        <w14:textFill>
          <w14:solidFill>
            <w14:srgbClr w14:val="999999"/>
          </w14:solidFill>
        </w14:textFill>
      </w:rPr>
      <w:t xml:space="preserve">Freight Rate Prediction </w:t>
    </w:r>
    <w:r>
      <w:rPr>
        <w:rFonts w:ascii="Calibri" w:hAnsi="Calibri" w:hint="default"/>
        <w:outline w:val="0"/>
        <w:color w:val="999999"/>
        <w:sz w:val="16"/>
        <w:szCs w:val="16"/>
        <w:u w:color="999999"/>
        <w:rtl w:val="0"/>
        <w:lang w:val="en-US"/>
        <w14:textFill>
          <w14:solidFill>
            <w14:srgbClr w14:val="999999"/>
          </w14:solidFill>
        </w14:textFill>
      </w:rPr>
      <w:t xml:space="preserve">— </w:t>
    </w:r>
    <w:r>
      <w:rPr>
        <w:rFonts w:ascii="Calibri" w:hAnsi="Calibri"/>
        <w:outline w:val="0"/>
        <w:color w:val="999999"/>
        <w:sz w:val="16"/>
        <w:szCs w:val="16"/>
        <w:u w:color="999999"/>
        <w:rtl w:val="0"/>
        <w:lang w:val="fr-FR"/>
        <w14:textFill>
          <w14:solidFill>
            <w14:srgbClr w14:val="999999"/>
          </w14:solidFill>
        </w14:textFill>
      </w:rPr>
      <w:t>Final Report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08" w:hanging="24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20" w:hanging="2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nl-NL"/>
      <w14:textOutline>
        <w14:noFill/>
      </w14:textOutline>
      <w14:textFill>
        <w14:solidFill>
          <w14:srgbClr w14:val="2E74B5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