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reight-rate-prediction-final-report"/>
    <w:p>
      <w:pPr>
        <w:pStyle w:val="Heading1"/>
      </w:pPr>
      <w:r>
        <w:t xml:space="preserve">Freight Rate Prediction — Final Report</w:t>
      </w:r>
    </w:p>
    <w:bookmarkStart w:id="9" w:name="data-overview"/>
    <w:p>
      <w:pPr>
        <w:pStyle w:val="Heading2"/>
      </w:pPr>
      <w:r>
        <w:t xml:space="preserve">1. Data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train-test.csv</w:t>
            </w:r>
          </w:p>
        </w:tc>
        <w:tc>
          <w:tcPr/>
          <w:p>
            <w:pPr>
              <w:pStyle w:val="Compact"/>
            </w:pPr>
            <w:r>
              <w:t xml:space="preserve">48,000</w:t>
            </w:r>
          </w:p>
        </w:tc>
        <w:tc>
          <w:tcPr/>
          <w:p>
            <w:pPr>
              <w:pStyle w:val="Compact"/>
            </w:pPr>
            <w:r>
              <w:t xml:space="preserve">Jan 1 – Oct 31, 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posted_rate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validation.csv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Nov 1 – Dec 31, 2025</w:t>
            </w:r>
          </w:p>
        </w:tc>
        <w:tc>
          <w:tcPr/>
          <w:p>
            <w:pPr>
              <w:pStyle w:val="Compact"/>
            </w:pPr>
            <w:r>
              <w:t xml:space="preserve">— (to predict)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december-chart-inputs.csv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Dec 1–31, 2025</w:t>
            </w:r>
          </w:p>
        </w:tc>
        <w:tc>
          <w:tcPr/>
          <w:p>
            <w:pPr>
              <w:pStyle w:val="Compact"/>
            </w:pPr>
            <w:r>
              <w:t xml:space="preserve">Fixed scenario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load_id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pickup_lat/lon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delivery_lat/lon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quote_signal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posted_rate</w:t>
      </w:r>
      <w:r>
        <w:t xml:space="preserve"> </w:t>
      </w:r>
      <w:r>
        <w:t xml:space="preserve">in train)</w:t>
      </w:r>
    </w:p>
    <w:p>
      <w:r>
        <w:pict>
          <v:rect style="width:0;height:1.5pt" o:hralign="center" o:hrstd="t" o:hr="t"/>
        </w:pict>
      </w:r>
    </w:p>
    <w:bookmarkEnd w:id="9"/>
    <w:bookmarkStart w:id="15" w:name="exploratory-data-analysis-key-findings"/>
    <w:p>
      <w:pPr>
        <w:pStyle w:val="Heading2"/>
      </w:pPr>
      <w:r>
        <w:t xml:space="preserve">2. Exploratory Data Analysis — Key Findings</w:t>
      </w:r>
    </w:p>
    <w:bookmarkStart w:id="10" w:name="target-distribution"/>
    <w:p>
      <w:pPr>
        <w:pStyle w:val="Heading3"/>
      </w:pPr>
      <w:r>
        <w:t xml:space="preserve">Target Distribution</w:t>
      </w:r>
    </w:p>
    <w:p>
      <w:pPr>
        <w:pStyle w:val="Compact"/>
        <w:numPr>
          <w:ilvl w:val="0"/>
          <w:numId w:val="1001"/>
        </w:numPr>
      </w:pPr>
      <w:r>
        <w:t xml:space="preserve">Mean posted rate:</w:t>
      </w:r>
      <w:r>
        <w:t xml:space="preserve"> </w:t>
      </w:r>
      <w:r>
        <w:rPr>
          <w:b/>
          <w:bCs/>
        </w:rPr>
        <w:t xml:space="preserve">$2,374</w:t>
      </w:r>
      <w:r>
        <w:t xml:space="preserve"> </w:t>
      </w:r>
      <w:r>
        <w:t xml:space="preserve">| Median:</w:t>
      </w:r>
      <w:r>
        <w:t xml:space="preserve"> </w:t>
      </w:r>
      <w:r>
        <w:rPr>
          <w:b/>
          <w:bCs/>
        </w:rPr>
        <w:t xml:space="preserve">$2,031</w:t>
      </w:r>
      <w:r>
        <w:t xml:space="preserve"> </w:t>
      </w:r>
      <w:r>
        <w:t xml:space="preserve">| Std:</w:t>
      </w:r>
      <w:r>
        <w:t xml:space="preserve"> </w:t>
      </w:r>
      <w:r>
        <w:rPr>
          <w:b/>
          <w:bCs/>
        </w:rPr>
        <w:t xml:space="preserve">$1,486</w:t>
      </w:r>
    </w:p>
    <w:p>
      <w:pPr>
        <w:pStyle w:val="Compact"/>
        <w:numPr>
          <w:ilvl w:val="0"/>
          <w:numId w:val="1001"/>
        </w:numPr>
      </w:pPr>
      <w:r>
        <w:t xml:space="preserve">Right-skewed distribution; a small fraction of long-haul loads drives the upper tail (max ~$25k)</w:t>
      </w:r>
    </w:p>
    <w:p>
      <w:pPr>
        <w:pStyle w:val="Compact"/>
        <w:numPr>
          <w:ilvl w:val="0"/>
          <w:numId w:val="1001"/>
        </w:numPr>
      </w:pPr>
      <w:r>
        <w:t xml:space="preserve">Rate-per-mile is much tighter: median ~</w:t>
      </w:r>
      <w:r>
        <w:rPr>
          <w:b/>
          <w:bCs/>
        </w:rPr>
        <w:t xml:space="preserve">$2.15/mile</w:t>
      </w:r>
      <w:r>
        <w:t xml:space="preserve">, std</w:t>
      </w:r>
      <w:r>
        <w:t xml:space="preserve"> </w:t>
      </w:r>
      <w:r>
        <w:rPr>
          <w:b/>
          <w:bCs/>
        </w:rPr>
        <w:t xml:space="preserve">$0.58</w:t>
      </w:r>
    </w:p>
    <w:bookmarkEnd w:id="10"/>
    <w:bookmarkStart w:id="11" w:name="dominant-driver"/>
    <w:p>
      <w:pPr>
        <w:pStyle w:val="Heading3"/>
      </w:pPr>
      <w:r>
        <w:t xml:space="preserve">Dominant Driver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distance</w:t>
      </w:r>
      <w:r>
        <w:t xml:space="preserve"> </w:t>
      </w:r>
      <w:r>
        <w:t xml:space="preserve">alone explains ~83% of variance in posted_rate (Pearson r = 0.91)</w:t>
      </w:r>
    </w:p>
    <w:p>
      <w:pPr>
        <w:pStyle w:val="Compact"/>
        <w:numPr>
          <w:ilvl w:val="0"/>
          <w:numId w:val="1002"/>
        </w:numPr>
      </w:pPr>
      <w:r>
        <w:t xml:space="preserve">Predicting</w:t>
      </w:r>
      <w:r>
        <w:t xml:space="preserve"> </w:t>
      </w:r>
      <w:r>
        <w:rPr>
          <w:rStyle w:val="VerbatimChar"/>
        </w:rPr>
        <w:t xml:space="preserve">rate_per_mile</w:t>
      </w:r>
      <w:r>
        <w:t xml:space="preserve"> </w:t>
      </w:r>
      <w:r>
        <w:t xml:space="preserve">then multiplying by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 </w:t>
      </w:r>
      <w:r>
        <w:t xml:space="preserve">is therefore more stable and generalises better across lane lengths</w:t>
      </w:r>
    </w:p>
    <w:bookmarkEnd w:id="11"/>
    <w:bookmarkStart w:id="12" w:name="categorical-coverage"/>
    <w:p>
      <w:pPr>
        <w:pStyle w:val="Heading3"/>
      </w:pPr>
      <w:r>
        <w:t xml:space="preserve">Categorical Coverage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Equipment types:</w:t>
      </w:r>
      <w:r>
        <w:t xml:space="preserve"> </w:t>
      </w:r>
      <w:r>
        <w:t xml:space="preserve">3 classes (Dry Van, Flatbed, Reefer) — fully shared train/valid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Cities:</w:t>
      </w:r>
      <w:r>
        <w:t xml:space="preserve"> </w:t>
      </w:r>
      <w:r>
        <w:t xml:space="preserve">64 unique in training; validation introduces</w:t>
      </w:r>
      <w:r>
        <w:t xml:space="preserve"> </w:t>
      </w:r>
      <w:r>
        <w:rPr>
          <w:b/>
          <w:bCs/>
        </w:rPr>
        <w:t xml:space="preserve">8 unseen cities</w:t>
      </w:r>
      <w:r>
        <w:t xml:space="preserve"> </w:t>
      </w:r>
      <w:r>
        <w:t xml:space="preserve">→ Handled by coordinate-based features (haversine distance, bearing) which generalize to any city pair</w:t>
      </w:r>
    </w:p>
    <w:bookmarkEnd w:id="12"/>
    <w:bookmarkStart w:id="13" w:name="missing-values"/>
    <w:p>
      <w:pPr>
        <w:pStyle w:val="Heading3"/>
      </w:pPr>
      <w:r>
        <w:t xml:space="preserve">Missing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300 (0.6%)</w:t>
            </w:r>
          </w:p>
        </w:tc>
        <w:tc>
          <w:tcPr/>
          <w:p>
            <w:pPr>
              <w:pStyle w:val="Compact"/>
            </w:pPr>
            <w:r>
              <w:t xml:space="preserve">165 (1.4%)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market_index</w:t>
            </w:r>
          </w:p>
        </w:tc>
        <w:tc>
          <w:tcPr/>
          <w:p>
            <w:pPr>
              <w:pStyle w:val="Compact"/>
            </w:pPr>
            <w:r>
              <w:t xml:space="preserve">374 (0.8%)</w:t>
            </w:r>
          </w:p>
        </w:tc>
        <w:tc>
          <w:tcPr/>
          <w:p>
            <w:pPr>
              <w:pStyle w:val="Compact"/>
            </w:pPr>
            <w:r>
              <w:t xml:space="preserve">249 (2.1%)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Imputed with training-set median;</w:t>
      </w:r>
      <w:r>
        <w:t xml:space="preserve"> </w:t>
      </w:r>
      <w:r>
        <w:rPr>
          <w:rStyle w:val="VerbatimChar"/>
        </w:rPr>
        <w:t xml:space="preserve">HistGradientBoostingRegressor</w:t>
      </w:r>
      <w:r>
        <w:t xml:space="preserve"> </w:t>
      </w:r>
      <w:r>
        <w:t xml:space="preserve">handles NaN natively as a further safety net</w:t>
      </w:r>
    </w:p>
    <w:bookmarkEnd w:id="13"/>
    <w:bookmarkStart w:id="14" w:name="market-temporal-signals"/>
    <w:p>
      <w:pPr>
        <w:pStyle w:val="Heading3"/>
      </w:pPr>
      <w:r>
        <w:t xml:space="preserve">Market &amp; Temporal Signals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market_index</w:t>
      </w:r>
      <w:r>
        <w:t xml:space="preserve"> </w:t>
      </w:r>
      <w:r>
        <w:t xml:space="preserve">peaks in Apr–May (~1.3) and dips in Sep (~0.89) — seasonal freight demand pattern</w:t>
      </w:r>
    </w:p>
    <w:p>
      <w:pPr>
        <w:pStyle w:val="Compact"/>
        <w:numPr>
          <w:ilvl w:val="0"/>
          <w:numId w:val="1005"/>
        </w:numPr>
      </w:pPr>
      <w:r>
        <w:t xml:space="preserve">Validation period (Nov–Dec) market_index ~0.93, similar to Sep–Oct, indicating no major distribution shift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validation-strategy"/>
    <w:p>
      <w:pPr>
        <w:pStyle w:val="Heading2"/>
      </w:pPr>
      <w:r>
        <w:t xml:space="preserve">3. Validation Strategy</w:t>
      </w:r>
    </w:p>
    <w:bookmarkStart w:id="16" w:name="why-time-based-split"/>
    <w:p>
      <w:pPr>
        <w:pStyle w:val="Heading3"/>
      </w:pPr>
      <w:r>
        <w:t xml:space="preserve">Why Time-Based Split?</w:t>
      </w:r>
    </w:p>
    <w:p>
      <w:pPr>
        <w:pStyle w:val="FirstParagraph"/>
      </w:pPr>
      <w:r>
        <w:t xml:space="preserve">Freight rates exhibit strong temporal autocorrelation (weekly and seasonal cycles). A random split would leak future market conditions into training, producing over-optimistic estimates.</w:t>
      </w:r>
    </w:p>
    <w:bookmarkEnd w:id="16"/>
    <w:bookmarkStart w:id="17" w:name="split-used"/>
    <w:p>
      <w:pPr>
        <w:pStyle w:val="Heading3"/>
      </w:pPr>
      <w:r>
        <w:t xml:space="preserve">Split Used</w:t>
      </w:r>
    </w:p>
    <w:p>
      <w:pPr>
        <w:pStyle w:val="SourceCode"/>
      </w:pPr>
      <w:r>
        <w:rPr>
          <w:rStyle w:val="VerbatimChar"/>
        </w:rPr>
        <w:t xml:space="preserve">Training fold  : Jan 1, 2025 – Aug 31, 2025  (38,477 loads)</w:t>
      </w:r>
      <w:r>
        <w:br/>
      </w:r>
      <w:r>
        <w:rPr>
          <w:rStyle w:val="VerbatimChar"/>
        </w:rPr>
        <w:t xml:space="preserve">Holdout fold   : Sep 1, 2025 – Oct 31, 2025   (9,523 loads)</w:t>
      </w:r>
    </w:p>
    <w:p>
      <w:pPr>
        <w:pStyle w:val="FirstParagraph"/>
      </w:pPr>
      <w:r>
        <w:t xml:space="preserve">This directly mimics the final deployment scenario where the model sees Jan–Oct data and must predict Nov–Dec.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feature-engineering"/>
    <w:p>
      <w:pPr>
        <w:pStyle w:val="Heading2"/>
      </w:pPr>
      <w:r>
        <w:t xml:space="preserve">4. Feature Engineering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Geospatial</w:t>
            </w:r>
          </w:p>
        </w:tc>
        <w:tc>
          <w:tcPr/>
          <w:p>
            <w:pPr>
              <w:pStyle w:val="Compact"/>
            </w:pPr>
            <w:r>
              <w:t xml:space="preserve">haversine miles, compass bearing, distance diff vs haversine, circuitous routing 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Distance transforms</w:t>
            </w:r>
          </w:p>
        </w:tc>
        <w:tc>
          <w:tcPr/>
          <w:p>
            <w:pPr>
              <w:pStyle w:val="Compact"/>
            </w:pPr>
            <w:r>
              <w:t xml:space="preserve">log(distance+1), sqrt(distance)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log(weight+1), dist × weight, weight /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Market/Quote</w:t>
            </w:r>
          </w:p>
        </w:tc>
        <w:tc>
          <w:tcPr/>
          <w:p>
            <w:pPr>
              <w:pStyle w:val="Compact"/>
            </w:pPr>
            <w:r>
              <w:t xml:space="preserve">market × quote, market × distance, quote ×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month, day, day-of-week, day-of-year, is_weekend, sin/cos cyclical encodings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encoding</w:t>
            </w:r>
          </w:p>
        </w:tc>
        <w:tc>
          <w:tcPr/>
          <w:p>
            <w:pPr>
              <w:pStyle w:val="Compact"/>
            </w:pPr>
            <w:r>
              <w:t xml:space="preserve">Smoothed rate-per-mile mean by: pickup city, delivery city, equipment (prior_weight=15 loads)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36 features</w:t>
      </w:r>
      <w:r>
        <w:t xml:space="preserve"> </w:t>
      </w:r>
      <w:r>
        <w:t xml:space="preserve">— no one-hot encoding needed;</w:t>
      </w:r>
      <w:r>
        <w:t xml:space="preserve"> </w:t>
      </w:r>
      <w:r>
        <w:rPr>
          <w:rStyle w:val="VerbatimChar"/>
        </w:rPr>
        <w:t xml:space="preserve">HistGradientBoostingRegressor</w:t>
      </w:r>
      <w:r>
        <w:t xml:space="preserve"> </w:t>
      </w:r>
      <w:r>
        <w:t xml:space="preserve">handles native categoricals directly.</w:t>
      </w:r>
    </w:p>
    <w:p>
      <w:r>
        <w:pict>
          <v:rect style="width:0;height:1.5pt" o:hralign="center" o:hrstd="t" o:hr="t"/>
        </w:pict>
      </w:r>
    </w:p>
    <w:bookmarkEnd w:id="19"/>
    <w:bookmarkStart w:id="24" w:name="model-selection"/>
    <w:p>
      <w:pPr>
        <w:pStyle w:val="Heading2"/>
      </w:pPr>
      <w:r>
        <w:t xml:space="preserve">5. Model Selection</w:t>
      </w:r>
    </w:p>
    <w:bookmarkStart w:id="20" w:name="candidates-evaluated-time-based-holdout"/>
    <w:p>
      <w:pPr>
        <w:pStyle w:val="Heading3"/>
      </w:pPr>
      <w:r>
        <w:t xml:space="preserve">Candidates Evaluated (time-based holdout)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HistGB — rate-per-mile L1 (absolute_error)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$115</w:t>
            </w:r>
          </w:p>
        </w:tc>
        <w:tc>
          <w:tcPr/>
          <w:p>
            <w:pPr>
              <w:pStyle w:val="Compact"/>
            </w:pPr>
            <w:r>
              <w:t xml:space="preserve">$636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HistGB — rate-per-mile L2 (squared_error)</w:t>
            </w:r>
          </w:p>
        </w:tc>
        <w:tc>
          <w:tcPr/>
          <w:p>
            <w:pPr>
              <w:pStyle w:val="Compact"/>
            </w:pPr>
            <w:r>
              <w:t xml:space="preserve">$133</w:t>
            </w:r>
          </w:p>
        </w:tc>
        <w:tc>
          <w:tcPr/>
          <w:p>
            <w:pPr>
              <w:pStyle w:val="Compact"/>
            </w:pPr>
            <w:r>
              <w:t xml:space="preserve">$639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HistGB — direct posted_rate L1</w:t>
            </w:r>
          </w:p>
        </w:tc>
        <w:tc>
          <w:tcPr/>
          <w:p>
            <w:pPr>
              <w:pStyle w:val="Compact"/>
            </w:pPr>
            <w:r>
              <w:t xml:space="preserve">$121</w:t>
            </w:r>
          </w:p>
        </w:tc>
        <w:tc>
          <w:tcPr/>
          <w:p>
            <w:pPr>
              <w:pStyle w:val="Compact"/>
            </w:pPr>
            <w:r>
              <w:t xml:space="preserve">$639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HistGB — direct posted_rate L2</w:t>
            </w:r>
          </w:p>
        </w:tc>
        <w:tc>
          <w:tcPr/>
          <w:p>
            <w:pPr>
              <w:pStyle w:val="Compact"/>
            </w:pPr>
            <w:r>
              <w:t xml:space="preserve">$159</w:t>
            </w:r>
          </w:p>
        </w:tc>
        <w:tc>
          <w:tcPr/>
          <w:p>
            <w:pPr>
              <w:pStyle w:val="Compact"/>
            </w:pPr>
            <w:r>
              <w:t xml:space="preserve">$647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 ensemble (all four)</w:t>
            </w:r>
          </w:p>
        </w:tc>
        <w:tc>
          <w:tcPr/>
          <w:p>
            <w:pPr>
              <w:pStyle w:val="Compact"/>
            </w:pPr>
            <w:r>
              <w:t xml:space="preserve">$121</w:t>
            </w:r>
          </w:p>
        </w:tc>
        <w:tc>
          <w:tcPr/>
          <w:p>
            <w:pPr>
              <w:pStyle w:val="Compact"/>
            </w:pPr>
            <w:r>
              <w:t xml:space="preserve">$640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Winner: HistGradientBoostingRegressor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loss="absolute_error"</w:t>
      </w:r>
      <w:r>
        <w:rPr>
          <w:b/>
          <w:bCs/>
        </w:rPr>
        <w:t xml:space="preserve"> </w:t>
      </w:r>
      <w:r>
        <w:rPr>
          <w:b/>
          <w:bCs/>
        </w:rPr>
        <w:t xml:space="preserve">on rate-per-mile target</w:t>
      </w:r>
    </w:p>
    <w:bookmarkEnd w:id="20"/>
    <w:bookmarkStart w:id="21" w:name="why-histgradientboosting"/>
    <w:p>
      <w:pPr>
        <w:pStyle w:val="Heading3"/>
      </w:pPr>
      <w:r>
        <w:t xml:space="preserve">Why HistGradientBoosting?</w:t>
      </w:r>
    </w:p>
    <w:p>
      <w:pPr>
        <w:pStyle w:val="Compact"/>
        <w:numPr>
          <w:ilvl w:val="0"/>
          <w:numId w:val="1006"/>
        </w:numPr>
      </w:pPr>
      <w:r>
        <w:t xml:space="preserve">Natively handles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 </w:t>
      </w:r>
      <w:r>
        <w:t xml:space="preserve">(weight, market_index) without imputation</w:t>
      </w:r>
    </w:p>
    <w:p>
      <w:pPr>
        <w:pStyle w:val="Compact"/>
        <w:numPr>
          <w:ilvl w:val="0"/>
          <w:numId w:val="1006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native categoricals</w:t>
      </w:r>
      <w:r>
        <w:t xml:space="preserve"> </w:t>
      </w:r>
      <w:r>
        <w:t xml:space="preserve">(pickup, delivery, equipment) — no encoding needed</w:t>
      </w:r>
    </w:p>
    <w:p>
      <w:pPr>
        <w:pStyle w:val="Compact"/>
        <w:numPr>
          <w:ilvl w:val="0"/>
          <w:numId w:val="1006"/>
        </w:numPr>
      </w:pPr>
      <w:r>
        <w:t xml:space="preserve">L1 (absolute error) loss is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 </w:t>
      </w:r>
      <w:r>
        <w:t xml:space="preserve">(long-haul loads with extreme rates)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n_iter_no_change=50</w:t>
      </w:r>
      <w:r>
        <w:t xml:space="preserve"> </w:t>
      </w:r>
      <w:r>
        <w:t xml:space="preserve">prevents overfitting on training period</w:t>
      </w:r>
    </w:p>
    <w:bookmarkEnd w:id="21"/>
    <w:bookmarkStart w:id="22" w:name="why-rate-per-mile-as-target"/>
    <w:p>
      <w:pPr>
        <w:pStyle w:val="Heading3"/>
      </w:pPr>
      <w:r>
        <w:t xml:space="preserve">Why Rate-per-Mile as Target?</w:t>
      </w:r>
    </w:p>
    <w:p>
      <w:pPr>
        <w:pStyle w:val="FirstParagraph"/>
      </w:pPr>
      <w:r>
        <w:t xml:space="preserve">Normalising by distance removes the scale dependency; the model learns lane-specific $/mile factors and then scales back. This gives a ~13% MAE improvement over direct prediction ($115 vs $133).</w:t>
      </w:r>
    </w:p>
    <w:bookmarkEnd w:id="22"/>
    <w:bookmarkStart w:id="23" w:name="final-model-hyperparameters"/>
    <w:p>
      <w:pPr>
        <w:pStyle w:val="Heading3"/>
      </w:pPr>
      <w:r>
        <w:t xml:space="preserve">Final Model Hyperparameters</w:t>
      </w:r>
    </w:p>
    <w:p>
      <w:pPr>
        <w:pStyle w:val="SourceCode"/>
      </w:pPr>
      <w:r>
        <w:rPr>
          <w:rStyle w:val="VerbatimChar"/>
        </w:rPr>
        <w:t xml:space="preserve">HistGradientBoostingRegressor(</w:t>
      </w:r>
      <w:r>
        <w:br/>
      </w:r>
      <w:r>
        <w:rPr>
          <w:rStyle w:val="VerbatimChar"/>
        </w:rPr>
        <w:t xml:space="preserve">    loss="absolute_error",</w:t>
      </w:r>
      <w:r>
        <w:br/>
      </w:r>
      <w:r>
        <w:rPr>
          <w:rStyle w:val="VerbatimChar"/>
        </w:rPr>
        <w:t xml:space="preserve">    max_iter=700,</w:t>
      </w:r>
      <w:r>
        <w:br/>
      </w:r>
      <w:r>
        <w:rPr>
          <w:rStyle w:val="VerbatimChar"/>
        </w:rPr>
        <w:t xml:space="preserve">    learning_rate=0.035,</w:t>
      </w:r>
      <w:r>
        <w:br/>
      </w:r>
      <w:r>
        <w:rPr>
          <w:rStyle w:val="VerbatimChar"/>
        </w:rPr>
        <w:t xml:space="preserve">    max_leaf_nodes=63,</w:t>
      </w:r>
      <w:r>
        <w:br/>
      </w:r>
      <w:r>
        <w:rPr>
          <w:rStyle w:val="VerbatimChar"/>
        </w:rPr>
        <w:t xml:space="preserve">    min_samples_leaf=20,</w:t>
      </w:r>
      <w:r>
        <w:br/>
      </w:r>
      <w:r>
        <w:rPr>
          <w:rStyle w:val="VerbatimChar"/>
        </w:rPr>
        <w:t xml:space="preserve">    l2_regularization=0.5,</w:t>
      </w:r>
      <w:r>
        <w:br/>
      </w:r>
      <w:r>
        <w:rPr>
          <w:rStyle w:val="VerbatimChar"/>
        </w:rPr>
        <w:t xml:space="preserve">    categorical_features=["pickup", "delivery", "equipment"],</w:t>
      </w:r>
      <w:r>
        <w:br/>
      </w:r>
      <w:r>
        <w:rPr>
          <w:rStyle w:val="VerbatimChar"/>
        </w:rPr>
        <w:t xml:space="preserve">    random_state=42,</w:t>
      </w:r>
      <w:r>
        <w:br/>
      </w:r>
      <w:r>
        <w:rPr>
          <w:rStyle w:val="VerbatimChar"/>
        </w:rPr>
        <w:t xml:space="preserve">    n_iter_no_change=50,</w:t>
      </w:r>
      <w:r>
        <w:br/>
      </w:r>
      <w:r>
        <w:rPr>
          <w:rStyle w:val="VerbatimChar"/>
        </w:rPr>
        <w:t xml:space="preserve">    validation_fraction=0.05,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inal-results"/>
    <w:p>
      <w:pPr>
        <w:pStyle w:val="Heading2"/>
      </w:pPr>
      <w:r>
        <w:t xml:space="preserve">6. Final Results</w:t>
      </w:r>
    </w:p>
    <w:bookmarkStart w:id="26" w:name="holdout-performance-sepoct-2025"/>
    <w:p>
      <w:pPr>
        <w:pStyle w:val="Heading3"/>
      </w:pPr>
      <w:r>
        <w:t xml:space="preserve">Holdout Performance (Sep–Oct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$115.01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$635.95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0.8263</w:t>
            </w:r>
          </w:p>
        </w:tc>
      </w:tr>
    </w:tbl>
    <w:p>
      <w:pPr>
        <w:pStyle w:val="BodyText"/>
      </w:pPr>
      <w:r>
        <w:t xml:space="preserve">Validation predictions: 12,000 rows saved to</w:t>
      </w:r>
      <w:r>
        <w:t xml:space="preserve"> </w:t>
      </w:r>
      <w:r>
        <w:rPr>
          <w:rStyle w:val="VerbatimChar"/>
        </w:rPr>
        <w:t xml:space="preserve">validation_predictions.csv</w:t>
      </w:r>
    </w:p>
    <w:p>
      <w:pPr>
        <w:pStyle w:val="BodyText"/>
      </w:pPr>
      <w:r>
        <w:t xml:space="preserve">How to regenerate this file and the December chart is documented in</w:t>
      </w:r>
      <w:r>
        <w:t xml:space="preserve"> </w:t>
      </w:r>
      <w:hyperlink r:id="rId25">
        <w:r>
          <w:rPr>
            <w:rStyle w:val="VerbatimChar"/>
          </w:rPr>
          <w:t xml:space="preserve">STEPS.md</w:t>
        </w:r>
      </w:hyperlink>
      <w:r>
        <w:t xml:space="preserve">. In short:</w:t>
      </w:r>
    </w:p>
    <w:p>
      <w:pPr>
        <w:pStyle w:val="SourceCode"/>
      </w:pPr>
      <w:r>
        <w:rPr>
          <w:rStyle w:val="VerbatimChar"/>
        </w:rPr>
        <w:t xml:space="preserve">uv run python src/train.py</w:t>
      </w:r>
      <w:r>
        <w:br/>
      </w:r>
      <w:r>
        <w:rPr>
          <w:rStyle w:val="VerbatimChar"/>
        </w:rPr>
        <w:t xml:space="preserve">uv run python score.py \</w:t>
      </w:r>
      <w:r>
        <w:br/>
      </w:r>
      <w:r>
        <w:rPr>
          <w:rStyle w:val="VerbatimChar"/>
        </w:rPr>
        <w:t xml:space="preserve">  --predictions validation_predictions.csv \</w:t>
      </w:r>
      <w:r>
        <w:br/>
      </w:r>
      <w:r>
        <w:rPr>
          <w:rStyle w:val="VerbatimChar"/>
        </w:rPr>
        <w:t xml:space="preserve">  --december-predictions data/december-chart-inputs.csv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ixed-december-prediction-chart"/>
    <w:p>
      <w:pPr>
        <w:pStyle w:val="Heading2"/>
      </w:pPr>
      <w:r>
        <w:t xml:space="preserve">7. Fixed December Prediction Chart</w:t>
      </w:r>
    </w:p>
    <w:p>
      <w:pPr>
        <w:pStyle w:val="FirstParagraph"/>
      </w:pPr>
      <w:r>
        <w:t xml:space="preserve">The chart below was produced by running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on the completed</w:t>
      </w:r>
      <w:r>
        <w:t xml:space="preserve"> </w:t>
      </w:r>
      <w:r>
        <w:rPr>
          <w:rStyle w:val="VerbatimChar"/>
        </w:rPr>
        <w:t xml:space="preserve">december-chart-inputs.csv</w:t>
      </w:r>
      <w:r>
        <w:t xml:space="preserve">.</w:t>
      </w:r>
      <w:r>
        <w:t xml:space="preserve"> </w:t>
      </w:r>
      <w:r>
        <w:t xml:space="preserve">It shows predicted daily freight rates for the fixed Lexington → Fort Wayne, 360 mi, Dry Van, 32,000 lb scenario across all 31 December days.</w:t>
      </w:r>
    </w:p>
    <w:p>
      <w:pPr>
        <w:pStyle w:val="CaptionedFigure"/>
      </w:pPr>
      <w:r>
        <w:drawing>
          <wp:inline>
            <wp:extent cx="5334000" cy="1737296"/>
            <wp:effectExtent b="0" l="0" r="0" t="0"/>
            <wp:docPr descr="December Predictions Chart" title="" id="29" name="Picture"/>
            <a:graphic>
              <a:graphicData uri="http://schemas.openxmlformats.org/drawingml/2006/picture">
                <pic:pic>
                  <pic:nvPicPr>
                    <pic:cNvPr descr="../scorer_results/candidate_decemb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December Predictions Chart</w:t>
      </w:r>
    </w:p>
    <w:p>
      <w:r>
        <w:pict>
          <v:rect style="width:0;height:1.5pt" o:hralign="center" o:hrstd="t" o:hr="t"/>
        </w:pict>
      </w:r>
    </w:p>
    <w:bookmarkEnd w:id="31"/>
    <w:bookmarkStart w:id="32" w:name="loom-walkthrough"/>
    <w:p>
      <w:pPr>
        <w:pStyle w:val="Heading2"/>
      </w:pPr>
      <w:r>
        <w:t xml:space="preserve">8. Loom Walkthrough</w:t>
      </w:r>
    </w:p>
    <w:p>
      <w:pPr>
        <w:pStyle w:val="FirstParagraph"/>
      </w:pPr>
      <w:r>
        <w:rPr>
          <w:i/>
          <w:iCs/>
        </w:rPr>
        <w:t xml:space="preserve">[Insert 2–3 minute Loom link here]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25" Target="../STEP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STEP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2026-09-19T11:26:59Z</dcterms:created>
  <dcterms:modified xsi:type="dcterms:W3CDTF">2026-09-19T11:26:59Z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