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b/>
          <w:bCs/>
          <w:i/>
          <w:iCs/>
          <w:sz w:val="22"/>
          <w:szCs w:val="22"/>
        </w:rPr>
        <w:t xml:space="preserve">Table 1: Cost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820"/>
        <w:gridCol w:w="1700"/>
        <w:gridCol w:w="1700"/>
      </w:tblGrid>
      <w:tr>
        <w:trPr>
          <w:tblHeader/>
        </w:trP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(Rupees)</w:t>
            </w:r>
          </w:p>
        </w:tc>
      </w:tr>
      <w:tr>
        <w:tc>
          <w:tcPr>
            <w:tcW w:type="dxa" w:w="9000"/>
            <w:gridSpan w:val="4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DCE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3294B"/>
                <w:sz w:val="19"/>
                <w:szCs w:val="19"/>
              </w:rPr>
              <w:t xml:space="preserve">A.  BRAIN POD ELECTRONICS  (2 units)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ESP32 DevKit V1 (USB-C, 30-pin)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V / 3 A Power Adapter with DC Barrel Jack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sets  (+1 spare jack)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440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USB-C Data Cable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Pod Interface Parts - tactile navigation buttons, female header strips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set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9000"/>
            <w:gridSpan w:val="4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DCE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3294B"/>
                <w:sz w:val="19"/>
                <w:szCs w:val="19"/>
              </w:rPr>
              <w:t xml:space="preserve">B.  BRAILLE CELL ELECTRONICS  (2 cells + spares)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28BYJ-48 Stepper Motor with ULN2003 Driver Board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(2 + 1 spare)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Hall Effect Sensor Module (MH-Sensor-Series)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(2 + 1 spare)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Neodymium Magnets - homing (3 x 1 mm) and docking (8 x 1 mm)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255</w:t>
            </w:r>
          </w:p>
        </w:tc>
      </w:tr>
      <w:tr>
        <w:tc>
          <w:tcPr>
            <w:tcW w:type="dxa" w:w="9000"/>
            <w:gridSpan w:val="4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DCE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3294B"/>
                <w:sz w:val="19"/>
                <w:szCs w:val="19"/>
              </w:rPr>
              <w:t xml:space="preserve">C.  PROTOTYPING HARDWARE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Breadboard, 830 tie-point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Wiring Set - Dupont jumpers, hookup wire, screw terminal blocks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set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260</w:t>
            </w:r>
          </w:p>
        </w:tc>
      </w:tr>
      <w:tr>
        <w:tc>
          <w:tcPr>
            <w:tcW w:type="dxa" w:w="9000"/>
            <w:gridSpan w:val="4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DCE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3294B"/>
                <w:sz w:val="19"/>
                <w:szCs w:val="19"/>
              </w:rPr>
              <w:t xml:space="preserve">D.  FASTENERS AND SPRINGS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Machine Screws - M2.5 x 25 mm, M4 x 10 mm, M2.5 x 8 mm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26  (8 used)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Brass Heat-Set Insert Kit (M2 / M2.5 / M3)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kit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 Compression Springs, 2 mm OD (assortment kit)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kit  (12 used)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450</w:t>
            </w:r>
          </w:p>
        </w:tc>
      </w:tr>
      <w:tr>
        <w:tc>
          <w:tcPr>
            <w:tcW w:type="dxa" w:w="9000"/>
            <w:gridSpan w:val="4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DCE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3294B"/>
                <w:sz w:val="19"/>
                <w:szCs w:val="19"/>
              </w:rPr>
              <w:t xml:space="preserve">E.  3D PRINTING MATERIALS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PETG Filament, 1 kg Spool (enclosure and plates)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850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Resin Parts - outsourced SLA print order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order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Failed Print / Reprint Material Allowance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600</w:t>
            </w:r>
          </w:p>
        </w:tc>
      </w:tr>
      <w:tr>
        <w:tc>
          <w:tcPr>
            <w:tcW w:type="dxa" w:w="9000"/>
            <w:gridSpan w:val="4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DCE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3294B"/>
                <w:sz w:val="19"/>
                <w:szCs w:val="19"/>
              </w:rPr>
              <w:t xml:space="preserve">F.  TOOLS AND CONSUMABLES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Soldering Station, 60 W, Temperature-Controlled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Soldering Accessories - solder wire, flux, spare tips, tip cleaner, desoldering pump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set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Digital Multimeter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Digital Vernier Calipers, 150 mm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Hand Tools - wire stripper, precision tweezers, drill bits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set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Hot Glue Gun with Glue Sticks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Assembly Consumables - super glue, heat-shrink tubing, insulation tape, silicone grease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set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9000"/>
            <w:gridSpan w:val="4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DCE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3294B"/>
                <w:sz w:val="19"/>
                <w:szCs w:val="19"/>
              </w:rPr>
              <w:t xml:space="preserve">G.  CONTINGENCY AND LOGISTICS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Component Failure Replacement Reserve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78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482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Shipping and Delivery Charges (online orders)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350</w:t>
            </w:r>
          </w:p>
        </w:tc>
      </w:tr>
      <w:tr>
        <w:tc>
          <w:tcPr>
            <w:tcW w:type="dxa" w:w="7300"/>
            <w:gridSpan w:val="3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C9D4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C9D4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9,895</w:t>
            </w:r>
          </w:p>
        </w:tc>
      </w:tr>
    </w:tbl>
    <w:p>
      <w:pPr>
        <w:spacing w:after="200" w:before="420"/>
        <w:jc w:val="center"/>
      </w:pPr>
      <w:r>
        <w:rPr>
          <w:b/>
          <w:bCs/>
          <w:i/>
          <w:iCs/>
          <w:sz w:val="22"/>
          <w:szCs w:val="22"/>
        </w:rPr>
        <w:t xml:space="preserve">Table 2: Cost Summary by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 (Rupees)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A. BRAIN POD ELECTRONICS (2 units)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1,510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B. BRAILLE CELL ELECTRONICS (2 cells + spares)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885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C. PROTOTYPING HARDWARE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460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D. FASTENERS AND SPRINGS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970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E. 3D PRINTING MATERIALS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2,350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F. TOOLS AND CONSUMABLES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F4F6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2,870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G. CONTINGENCY AND LOGISTICS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850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C9D4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Project Cost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shd w:fill="C9D4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9,895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Sanctioned Budget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56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7F4B"/>
                <w:sz w:val="19"/>
                <w:szCs w:val="19"/>
              </w:rPr>
              <w:t xml:space="preserve">Balance Remaining</w:t>
            </w:r>
          </w:p>
        </w:tc>
        <w:tc>
          <w:tcPr>
            <w:tcW w:type="dxa" w:w="3400"/>
            <w:tcBorders>
              <w:top w:val="single" w:color="8A98A8" w:sz="4"/>
              <w:left w:val="single" w:color="8A98A8" w:sz="4"/>
              <w:bottom w:val="single" w:color="8A98A8" w:sz="4"/>
              <w:right w:val="single" w:color="8A98A8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B7F4B"/>
                <w:sz w:val="19"/>
                <w:szCs w:val="19"/>
              </w:rPr>
              <w:t xml:space="preserve">105</w:t>
            </w:r>
          </w:p>
        </w:tc>
      </w:tr>
    </w:tbl>
    <w:p>
      <w:pPr>
        <w:spacing w:before="340"/>
      </w:pPr>
      <w:r>
        <w:rPr>
          <w:b/>
          <w:bCs/>
          <w:sz w:val="19"/>
          <w:szCs w:val="19"/>
        </w:rPr>
        <w:t xml:space="preserve">Notes</w:t>
      </w:r>
    </w:p>
    <w:p>
      <w:pPr>
        <w:spacing w:after="0" w:before="90"/>
      </w:pPr>
      <w:r>
        <w:rPr>
          <w:color w:val="444444"/>
          <w:sz w:val="17"/>
          <w:szCs w:val="17"/>
        </w:rPr>
        <w:t xml:space="preserve">1.  Costs are realistic Indian-market estimates (Amazon.in, Robu.in, and the local electronics market). Actual invoiced amounts may vary by supplier.</w:t>
      </w:r>
    </w:p>
    <w:p>
      <w:pPr>
        <w:spacing w:after="0" w:before="90"/>
      </w:pPr>
      <w:r>
        <w:rPr>
          <w:color w:val="444444"/>
          <w:sz w:val="17"/>
          <w:szCs w:val="17"/>
        </w:rPr>
        <w:t xml:space="preserve">2.  The configuration priced is two Brain Pods and two Braille Cells. The system architecture uses one Brain Pod as the master controller; the second unit is held as a spare, so that a failure of the controller does not stop the demonstration. Quantities in Sections A and B follow from that configuration.</w:t>
      </w:r>
    </w:p>
    <w:p>
      <w:pPr>
        <w:spacing w:after="0" w:before="90"/>
      </w:pPr>
      <w:r>
        <w:rPr>
          <w:color w:val="444444"/>
          <w:sz w:val="17"/>
          <w:szCs w:val="17"/>
        </w:rPr>
        <w:t xml:space="preserve">3.  Spare units are included for the components most likely to fail in a prototype: the stepper motor with its driver board, the Hall effect sensor, and the DC barrel jack. Fasteners and springs are purchased as kits, so surplus is inherent.</w:t>
      </w:r>
    </w:p>
    <w:p>
      <w:pPr>
        <w:spacing w:after="0" w:before="90"/>
      </w:pPr>
      <w:r>
        <w:rPr>
          <w:color w:val="444444"/>
          <w:sz w:val="17"/>
          <w:szCs w:val="17"/>
        </w:rPr>
        <w:t xml:space="preserve">4.  Section E covers 3D printing consumables. The reprint allowance reflects material lost to failed prints, which were observed during the first PETG enclosure trials.</w:t>
      </w:r>
    </w:p>
    <w:p>
      <w:pPr>
        <w:spacing w:after="0" w:before="90"/>
      </w:pPr>
      <w:r>
        <w:rPr>
          <w:color w:val="444444"/>
          <w:sz w:val="17"/>
          <w:szCs w:val="17"/>
        </w:rPr>
        <w:t xml:space="preserve">5.  Section G reserves funds for components damaged during assembly and for delivery charges on online orders. This reserve is included within the total, not additional to it.</w:t>
      </w:r>
    </w:p>
    <w:p>
      <w:pPr>
        <w:spacing w:after="0" w:before="90"/>
      </w:pPr>
      <w:r>
        <w:rPr>
          <w:color w:val="444444"/>
          <w:sz w:val="17"/>
          <w:szCs w:val="17"/>
        </w:rPr>
        <w:t xml:space="preserve">6.  Committed expenditure, excluding the Section G reserve, is Rs. 9,045.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2026-08-21T17:12:50.299Z</dcterms:created>
  <dcterms:modified xsi:type="dcterms:W3CDTF">2026-08-21T17:12:50.301Z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