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RETAIL SALES &amp; INVENTORY ANALYSIS</w:t>
      </w:r>
    </w:p>
    <w:p>
      <w:pPr>
        <w:spacing w:after="80" w:before="0"/>
        <w:jc w:val="center"/>
      </w:pPr>
      <w:r>
        <w:rPr>
          <w:rFonts w:ascii="Arial" w:cs="Arial" w:eastAsia="Arial" w:hAnsi="Arial"/>
          <w:color w:val="2E75B6"/>
          <w:sz w:val="28"/>
          <w:szCs w:val="28"/>
        </w:rPr>
        <w:t xml:space="preserve">Business Intelligence Report — Week 4 Insights</w:t>
      </w:r>
    </w:p>
    <w:p>
      <w:pPr>
        <w:spacing w:after="80" w:before="0"/>
        <w:jc w:val="center"/>
      </w:pPr>
      <w:r>
        <w:rPr>
          <w:rFonts w:ascii="Arial" w:cs="Arial" w:eastAsia="Arial" w:hAnsi="Arial"/>
          <w:color w:val="888888"/>
          <w:sz w:val="22"/>
          <w:szCs w:val="22"/>
        </w:rPr>
        <w:t xml:space="preserve">Infotact Solutions &amp; Co.  |  June 2026</w:t>
      </w:r>
    </w:p>
    <w:p>
      <w:pPr>
        <w:pBdr>
          <w:bottom w:val="single" w:color="2E75B6" w:sz="8" w:space="1"/>
        </w:pBdr>
        <w:spacing w:after="480" w:before="0"/>
        <w:jc w:val="center"/>
      </w:pPr>
      <w:r>
        <w:rPr>
          <w:rFonts w:ascii="Arial" w:cs="Arial" w:eastAsia="Arial" w:hAnsi="Arial"/>
          <w:i/>
          <w:iCs/>
          <w:color w:val="555555"/>
          <w:sz w:val="20"/>
          <w:szCs w:val="20"/>
        </w:rPr>
        <w:t xml:space="preserve">Data Source: Superstore Retail Dataset  |  Tool: MySQL + Power BI</w:t>
      </w:r>
    </w:p>
    <w:p>
      <w:pPr>
        <w:pStyle w:val="Heading1"/>
        <w:pBdr>
          <w:bottom w:val="single" w:color="2E75B6" w:sz="6" w:space="1"/>
        </w:pBdr>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report presents a comprehensive analysis of the Superstore retail dataset, covering sales performance, profit trends, regional distribution, and customer behavior. The analysis was conducted using MySQL for data querying and Power BI for visualization. Key findings reveal that Technology leads in revenue, the West region dominates geographically, and targeted discount strategies can significantly improve overall profitability.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Metric</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Total Revenue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$3,98,557.94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Total Profit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$38,042.49</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Overall Profit Margin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9.55%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No. of Categories Analyzed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3</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No. of Regions Analyzed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4</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Sales Performance Analysis</w:t>
      </w:r>
    </w:p>
    <w:p>
      <w:pPr>
        <w:pStyle w:val="Heading2"/>
        <w:spacing w:after="120" w:before="240"/>
      </w:pPr>
      <w:r>
        <w:rPr>
          <w:rFonts w:ascii="Arial" w:cs="Arial" w:eastAsia="Arial" w:hAnsi="Arial"/>
          <w:b/>
          <w:bCs/>
          <w:color w:val="2E75B6"/>
          <w:sz w:val="26"/>
          <w:szCs w:val="26"/>
        </w:rPr>
        <w:t xml:space="preserve">2.1 Sales by Category</w:t>
      </w:r>
    </w:p>
    <w:p>
      <w:pPr>
        <w:spacing w:after="80" w:before="80"/>
      </w:pPr>
      <w:r>
        <w:rPr>
          <w:rFonts w:ascii="Arial" w:cs="Arial" w:eastAsia="Arial" w:hAnsi="Arial"/>
          <w:sz w:val="22"/>
          <w:szCs w:val="22"/>
        </w:rPr>
        <w:t xml:space="preserve">Technology emerged as the top-performing category, contributing the highest revenue among all three product segments. Office Supplies followed in second place, while Furniture ranked third despite generating the highest loss in profit.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Category</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Total Sales</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Total Profit</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Profit 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Technology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$1,47,749.62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$19,397.08</w:t>
            </w:r>
          </w:p>
        </w:tc>
        <w:tc>
          <w:tcPr>
            <w:tcW w:type="dxa" w:w="2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Profitable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Furniture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$1,39,748.86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-$813.81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Loss Making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Office Supplies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$1,11,059.46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$19,459.22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Profitable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Sales by Region</w:t>
      </w:r>
    </w:p>
    <w:p>
      <w:pPr>
        <w:spacing w:after="80" w:before="80"/>
      </w:pPr>
      <w:r>
        <w:rPr>
          <w:rFonts w:ascii="Arial" w:cs="Arial" w:eastAsia="Arial" w:hAnsi="Arial"/>
          <w:sz w:val="22"/>
          <w:szCs w:val="22"/>
        </w:rPr>
        <w:t xml:space="preserve">The West region recorded the highest total sales, followed closely by the East region. The South region contributed the least in terms of revenue but maintained a healthy profit margin compared to Central.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Region</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Total Sales</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Total Profit</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of Total Sales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West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$1,23,781.37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$18,434.69</w:t>
            </w:r>
          </w:p>
        </w:tc>
        <w:tc>
          <w:tcPr>
            <w:tcW w:type="dxa" w:w="2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31.06%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East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$1,11,768.95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$10,321.04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28.04%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Central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$94,941.26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$672.84</w:t>
            </w:r>
          </w:p>
        </w:tc>
        <w:tc>
          <w:tcPr>
            <w:tcW w:type="dxa" w:w="2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23.82%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South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$68,066.36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$8,613.92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17.08%</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Profit Analysis</w:t>
      </w:r>
    </w:p>
    <w:p>
      <w:pPr>
        <w:spacing w:after="80" w:before="80"/>
      </w:pPr>
      <w:r>
        <w:rPr>
          <w:rFonts w:ascii="Arial" w:cs="Arial" w:eastAsia="Arial" w:hAnsi="Arial"/>
          <w:sz w:val="22"/>
          <w:szCs w:val="22"/>
        </w:rPr>
        <w:t xml:space="preserve">The overall profit margin stands at 9.55%, which indicates moderate profitability. However, the Furniture category is operating at a net loss of -$813.81, which is a critical area requiring immediate attention.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Key Profit Observations</w:t>
      </w:r>
    </w:p>
    <w:p>
      <w:pPr>
        <w:pStyle w:val="ListParagraph"/>
        <w:numPr>
          <w:ilvl w:val="0"/>
          <w:numId w:val="2"/>
        </w:numPr>
        <w:spacing w:after="60" w:before="60"/>
      </w:pPr>
      <w:r>
        <w:rPr>
          <w:rFonts w:ascii="Arial" w:cs="Arial" w:eastAsia="Arial" w:hAnsi="Arial"/>
          <w:sz w:val="22"/>
          <w:szCs w:val="22"/>
        </w:rPr>
        <w:t xml:space="preserve">Office Supplies is the most profitable category with $19,459.22 net profit despite lower sales volume.</w:t>
      </w:r>
    </w:p>
    <w:p>
      <w:pPr>
        <w:pStyle w:val="ListParagraph"/>
        <w:numPr>
          <w:ilvl w:val="0"/>
          <w:numId w:val="2"/>
        </w:numPr>
        <w:spacing w:after="60" w:before="60"/>
      </w:pPr>
      <w:r>
        <w:rPr>
          <w:rFonts w:ascii="Arial" w:cs="Arial" w:eastAsia="Arial" w:hAnsi="Arial"/>
          <w:sz w:val="22"/>
          <w:szCs w:val="22"/>
        </w:rPr>
        <w:t xml:space="preserve">Technology generates nearly equal profit ($19,397.08) with significantly higher sales — indicating lower margins.</w:t>
      </w:r>
    </w:p>
    <w:p>
      <w:pPr>
        <w:pStyle w:val="ListParagraph"/>
        <w:numPr>
          <w:ilvl w:val="0"/>
          <w:numId w:val="2"/>
        </w:numPr>
        <w:spacing w:after="60" w:before="60"/>
      </w:pPr>
      <w:r>
        <w:rPr>
          <w:rFonts w:ascii="Arial" w:cs="Arial" w:eastAsia="Arial" w:hAnsi="Arial"/>
          <w:sz w:val="22"/>
          <w:szCs w:val="22"/>
        </w:rPr>
        <w:t xml:space="preserve">Furniture is the only loss-making category (-$813.81), likely due to heavy discounting practices.</w:t>
      </w:r>
    </w:p>
    <w:p>
      <w:pPr>
        <w:pStyle w:val="ListParagraph"/>
        <w:numPr>
          <w:ilvl w:val="0"/>
          <w:numId w:val="2"/>
        </w:numPr>
        <w:spacing w:after="60" w:before="60"/>
      </w:pPr>
      <w:r>
        <w:rPr>
          <w:rFonts w:ascii="Arial" w:cs="Arial" w:eastAsia="Arial" w:hAnsi="Arial"/>
          <w:sz w:val="22"/>
          <w:szCs w:val="22"/>
        </w:rPr>
        <w:t xml:space="preserve">The West region is the most profitable region with $18,434.69 net profit.</w:t>
      </w:r>
    </w:p>
    <w:p>
      <w:pPr>
        <w:pStyle w:val="ListParagraph"/>
        <w:numPr>
          <w:ilvl w:val="0"/>
          <w:numId w:val="2"/>
        </w:numPr>
        <w:spacing w:after="60" w:before="60"/>
      </w:pPr>
      <w:r>
        <w:rPr>
          <w:rFonts w:ascii="Arial" w:cs="Arial" w:eastAsia="Arial" w:hAnsi="Arial"/>
          <w:sz w:val="22"/>
          <w:szCs w:val="22"/>
        </w:rPr>
        <w:t xml:space="preserve">Central region shows critically low profit ($672.84) despite $94,941.26 in sales — a margin of only 0.7%.</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Top Customer Analysis</w:t>
      </w:r>
    </w:p>
    <w:p>
      <w:pPr>
        <w:spacing w:after="80" w:before="80"/>
      </w:pPr>
      <w:r>
        <w:rPr>
          <w:rFonts w:ascii="Arial" w:cs="Arial" w:eastAsia="Arial" w:hAnsi="Arial"/>
          <w:sz w:val="22"/>
          <w:szCs w:val="22"/>
        </w:rPr>
        <w:t xml:space="preserve">The following customers represent the highest revenue contributors to the business. Retaining and nurturing these high-value customers is essential for sustained revenue growth.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Rank</w:t>
            </w:r>
          </w:p>
        </w:tc>
        <w:tc>
          <w:tcPr>
            <w:tcW w:type="dxa" w:w="4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Customer Name</w:t>
            </w:r>
          </w:p>
        </w:tc>
        <w:tc>
          <w:tcPr>
            <w:tcW w:type="dxa" w:w="36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Total Sales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Becky Martin</w:t>
            </w:r>
          </w:p>
        </w:tc>
        <w:tc>
          <w:tcPr>
            <w:tcW w:type="dxa" w:w="3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$11,037.14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Grant Thornton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$8,167.42</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Christopher Martinez</w:t>
            </w:r>
          </w:p>
        </w:tc>
        <w:tc>
          <w:tcPr>
            <w:tcW w:type="dxa" w:w="3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$6,412.77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Karen Daniels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$6,317.16</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5</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Sean Braxton</w:t>
            </w:r>
          </w:p>
        </w:tc>
        <w:tc>
          <w:tcPr>
            <w:tcW w:type="dxa" w:w="3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$6,119.01</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Key Business Insights</w:t>
      </w:r>
    </w:p>
    <w:p>
      <w:pPr>
        <w:pStyle w:val="Heading2"/>
        <w:spacing w:after="120" w:before="240"/>
      </w:pPr>
      <w:r>
        <w:rPr>
          <w:rFonts w:ascii="Arial" w:cs="Arial" w:eastAsia="Arial" w:hAnsi="Arial"/>
          <w:b/>
          <w:bCs/>
          <w:color w:val="2E75B6"/>
          <w:sz w:val="26"/>
          <w:szCs w:val="26"/>
        </w:rPr>
        <w:t xml:space="preserve">Insight 1 — Technology Dominates Revenue</w:t>
      </w:r>
    </w:p>
    <w:p>
      <w:pPr>
        <w:spacing w:after="80" w:before="80"/>
      </w:pPr>
      <w:r>
        <w:rPr>
          <w:rFonts w:ascii="Arial" w:cs="Arial" w:eastAsia="Arial" w:hAnsi="Arial"/>
          <w:sz w:val="22"/>
          <w:szCs w:val="22"/>
        </w:rPr>
        <w:t xml:space="preserve">Technology accounts for 37.07% of total sales ($1,47,749.62) and is the single largest revenue driver. Investment in expanding the Technology product line and improving after-sales support can further increase market share.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Insight 2 — Furniture Category is Loss-Making</w:t>
      </w:r>
    </w:p>
    <w:p>
      <w:pPr>
        <w:spacing w:after="80" w:before="80"/>
      </w:pPr>
      <w:r>
        <w:rPr>
          <w:rFonts w:ascii="Arial" w:cs="Arial" w:eastAsia="Arial" w:hAnsi="Arial"/>
          <w:sz w:val="22"/>
          <w:szCs w:val="22"/>
        </w:rPr>
        <w:t xml:space="preserve">Despite generating $1,39,748.86 in sales (second highest), the Furniture category is the only loss-making segment at -$813.81. This indicates excessive discounting or high operational costs associated with Furniture products.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Insight 3 — West Region Leads in Both Sales and Profit</w:t>
      </w:r>
    </w:p>
    <w:p>
      <w:pPr>
        <w:spacing w:after="80" w:before="80"/>
      </w:pPr>
      <w:r>
        <w:rPr>
          <w:rFonts w:ascii="Arial" w:cs="Arial" w:eastAsia="Arial" w:hAnsi="Arial"/>
          <w:sz w:val="22"/>
          <w:szCs w:val="22"/>
        </w:rPr>
        <w:t xml:space="preserve">The West region contributes 31.06% of total sales and 48.46% of total profit ($18,434.69). This region represents the most efficient market for the business.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Insight 4 — Central Region Has Critical Profitability Issues</w:t>
      </w:r>
    </w:p>
    <w:p>
      <w:pPr>
        <w:spacing w:after="80" w:before="80"/>
      </w:pPr>
      <w:r>
        <w:rPr>
          <w:rFonts w:ascii="Arial" w:cs="Arial" w:eastAsia="Arial" w:hAnsi="Arial"/>
          <w:sz w:val="22"/>
          <w:szCs w:val="22"/>
        </w:rPr>
        <w:t xml:space="preserve">The Central region generates $94,941.26 in sales but only $672.84 in profit — a margin of just 0.7%. This is significantly below the company average of 9.55% and requires urgent review of pricing, discounting, and cost structures in this region.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Insight 5 — High Customer Concentration Risk</w:t>
      </w:r>
    </w:p>
    <w:p>
      <w:pPr>
        <w:spacing w:after="80" w:before="80"/>
      </w:pPr>
      <w:r>
        <w:rPr>
          <w:rFonts w:ascii="Arial" w:cs="Arial" w:eastAsia="Arial" w:hAnsi="Arial"/>
          <w:sz w:val="22"/>
          <w:szCs w:val="22"/>
        </w:rPr>
        <w:t xml:space="preserve">The top 5 customers contribute a significant portion of total revenue. Over-reliance on a small group of high-value customers creates business risk. Diversifying the customer base should be a strategic priority.</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Strategic Recommendations</w:t>
      </w:r>
    </w:p>
    <w:p>
      <w:pPr>
        <w:pStyle w:val="ListParagraph"/>
        <w:numPr>
          <w:ilvl w:val="0"/>
          <w:numId w:val="2"/>
        </w:numPr>
        <w:spacing w:after="60" w:before="60"/>
      </w:pPr>
      <w:r>
        <w:rPr>
          <w:rFonts w:ascii="Arial" w:cs="Arial" w:eastAsia="Arial" w:hAnsi="Arial"/>
          <w:sz w:val="22"/>
          <w:szCs w:val="22"/>
        </w:rPr>
        <w:t xml:space="preserve">Reduce discounts on Furniture products to eliminate losses and improve category profit margin to at least 5%.</w:t>
      </w:r>
    </w:p>
    <w:p>
      <w:pPr>
        <w:pStyle w:val="ListParagraph"/>
        <w:numPr>
          <w:ilvl w:val="0"/>
          <w:numId w:val="2"/>
        </w:numPr>
        <w:spacing w:after="60" w:before="60"/>
      </w:pPr>
      <w:r>
        <w:rPr>
          <w:rFonts w:ascii="Arial" w:cs="Arial" w:eastAsia="Arial" w:hAnsi="Arial"/>
          <w:sz w:val="22"/>
          <w:szCs w:val="22"/>
        </w:rPr>
        <w:t xml:space="preserve">Invest in West region marketing and expansion as it delivers the highest ROI across both sales and profit metrics.</w:t>
      </w:r>
    </w:p>
    <w:p>
      <w:pPr>
        <w:pStyle w:val="ListParagraph"/>
        <w:numPr>
          <w:ilvl w:val="0"/>
          <w:numId w:val="2"/>
        </w:numPr>
        <w:spacing w:after="60" w:before="60"/>
      </w:pPr>
      <w:r>
        <w:rPr>
          <w:rFonts w:ascii="Arial" w:cs="Arial" w:eastAsia="Arial" w:hAnsi="Arial"/>
          <w:sz w:val="22"/>
          <w:szCs w:val="22"/>
        </w:rPr>
        <w:t xml:space="preserve">Conduct an operational audit of the Central region to identify the root cause of the critically low 0.7% profit margin.</w:t>
      </w:r>
    </w:p>
    <w:p>
      <w:pPr>
        <w:pStyle w:val="ListParagraph"/>
        <w:numPr>
          <w:ilvl w:val="0"/>
          <w:numId w:val="2"/>
        </w:numPr>
        <w:spacing w:after="60" w:before="60"/>
      </w:pPr>
      <w:r>
        <w:rPr>
          <w:rFonts w:ascii="Arial" w:cs="Arial" w:eastAsia="Arial" w:hAnsi="Arial"/>
          <w:sz w:val="22"/>
          <w:szCs w:val="22"/>
        </w:rPr>
        <w:t xml:space="preserve">Introduce a customer loyalty programme targeting the top 20 customers to reduce churn and increase lifetime value.</w:t>
      </w:r>
    </w:p>
    <w:p>
      <w:pPr>
        <w:pStyle w:val="ListParagraph"/>
        <w:numPr>
          <w:ilvl w:val="0"/>
          <w:numId w:val="2"/>
        </w:numPr>
        <w:spacing w:after="60" w:before="60"/>
      </w:pPr>
      <w:r>
        <w:rPr>
          <w:rFonts w:ascii="Arial" w:cs="Arial" w:eastAsia="Arial" w:hAnsi="Arial"/>
          <w:sz w:val="22"/>
          <w:szCs w:val="22"/>
        </w:rPr>
        <w:t xml:space="preserve">Expand the Technology product catalogue as it demonstrates the best balance of high sales volume and sustainable profitability.</w:t>
      </w:r>
    </w:p>
    <w:p>
      <w:pPr>
        <w:pStyle w:val="ListParagraph"/>
        <w:numPr>
          <w:ilvl w:val="0"/>
          <w:numId w:val="2"/>
        </w:numPr>
        <w:spacing w:after="60" w:before="60"/>
      </w:pPr>
      <w:r>
        <w:rPr>
          <w:rFonts w:ascii="Arial" w:cs="Arial" w:eastAsia="Arial" w:hAnsi="Arial"/>
          <w:sz w:val="22"/>
          <w:szCs w:val="22"/>
        </w:rPr>
        <w:t xml:space="preserve">Implement dynamic pricing strategies in Office Supplies to capitalise on its high profit margin and grow market share.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Conclusion</w:t>
      </w:r>
    </w:p>
    <w:p>
      <w:pPr>
        <w:spacing w:after="80" w:before="80"/>
      </w:pPr>
      <w:r>
        <w:rPr>
          <w:rFonts w:ascii="Arial" w:cs="Arial" w:eastAsia="Arial" w:hAnsi="Arial"/>
          <w:sz w:val="22"/>
          <w:szCs w:val="22"/>
        </w:rPr>
        <w:t xml:space="preserve">This analysis demonstrates that the Superstore retail business has strong revenue performance driven primarily by Technology and the West region. However, profitability challenges in Furniture and Central region present clear opportunities for operational improvement. By implementing the recommendations outlined in this report, the business can target a profit margin improvement from the current 9.55% to 12–15% in the next fiscal year.</w:t>
      </w:r>
    </w:p>
    <w:p>
      <w:pPr>
        <w:spacing w:after="80" w:before="80"/>
      </w:pPr>
      <w:r>
        <w:t xml:space="preserve"/>
      </w:r>
    </w:p>
    <w:p>
      <w:pPr>
        <w:spacing w:after="80" w:before="80"/>
      </w:pPr>
      <w:r>
        <w:rPr>
          <w:rFonts w:ascii="Arial" w:cs="Arial" w:eastAsia="Arial" w:hAnsi="Arial"/>
          <w:i/>
          <w:iCs/>
          <w:color w:val="888888"/>
          <w:sz w:val="22"/>
          <w:szCs w:val="22"/>
        </w:rPr>
        <w:t xml:space="preserve">All data was sourced from the Superstore retail dataset, cleaned and queried using MySQL, and visualised using Microsoft Power BI as part of the Four-Week Engineering Internship Programme at Infotact Solutions &amp; Co.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Retail Sales Analysis Report  |  Infotact Solutions &amp; Co.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2026-06-08T09:49:33.846Z</dcterms:created>
  <dcterms:modified xsi:type="dcterms:W3CDTF">2026-06-08T09:49:33.847Z</dcterms:modified>
</cp:coreProperties>
</file>

<file path=docProps/custom.xml><?xml version="1.0" encoding="utf-8"?>
<Properties xmlns="http://schemas.openxmlformats.org/officeDocument/2006/custom-properties" xmlns:vt="http://schemas.openxmlformats.org/officeDocument/2006/docPropsVTypes"/>
</file>