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40E2" w:rsidRDefault="00BC7E8E" w:rsidP="00BC7E8E">
      <w:pPr>
        <w:pStyle w:val="Heading1"/>
      </w:pPr>
      <w:r>
        <w:t>Examination of Virtual Reality Experiences</w:t>
      </w:r>
    </w:p>
    <w:p w:rsidR="00BC7E8E" w:rsidRDefault="00BC7E8E" w:rsidP="00BC7E8E"/>
    <w:p w:rsidR="00BC7E8E" w:rsidRDefault="00BC7E8E" w:rsidP="00BC7E8E">
      <w:pPr>
        <w:pStyle w:val="Heading2"/>
      </w:pPr>
      <w:r>
        <w:t>Problem Statement</w:t>
      </w:r>
    </w:p>
    <w:p w:rsidR="00BC7E8E" w:rsidRDefault="00BC7E8E" w:rsidP="00BC7E8E">
      <w:r>
        <w:t xml:space="preserve">Examine virtual reality experiences to improve design, comfort, and customization. </w:t>
      </w:r>
    </w:p>
    <w:p w:rsidR="00BC7E8E" w:rsidRDefault="00BC7E8E" w:rsidP="00BC7E8E">
      <w:pPr>
        <w:pStyle w:val="Heading2"/>
      </w:pPr>
      <w:r>
        <w:t>Introduction</w:t>
      </w:r>
    </w:p>
    <w:p w:rsidR="00BC7E8E" w:rsidRDefault="00BC7E8E" w:rsidP="00BC7E8E">
      <w:r>
        <w:t xml:space="preserve">For the dataset relating to virtual reality experiences, I will convert the ranking system (1-5) of the immersion level into a categorical model (1-3 = Not too immersed, 4-5 = Immersed). We will then examine the response variable for immersion level through logistic regression. </w:t>
      </w:r>
    </w:p>
    <w:p w:rsidR="00BC7E8E" w:rsidRDefault="00BC7E8E" w:rsidP="00BC7E8E">
      <w:r>
        <w:t>In following that, we will use several predictors to demonstrate how significant of a role each one plays:</w:t>
      </w:r>
    </w:p>
    <w:p w:rsidR="00BC7E8E" w:rsidRDefault="00BC7E8E" w:rsidP="00BC7E8E">
      <w:pPr>
        <w:pStyle w:val="ListParagraph"/>
        <w:numPr>
          <w:ilvl w:val="0"/>
          <w:numId w:val="1"/>
        </w:numPr>
      </w:pPr>
      <w:r>
        <w:t>Age</w:t>
      </w:r>
    </w:p>
    <w:p w:rsidR="00BC7E8E" w:rsidRDefault="00BC7E8E" w:rsidP="00BC7E8E">
      <w:pPr>
        <w:pStyle w:val="ListParagraph"/>
        <w:numPr>
          <w:ilvl w:val="0"/>
          <w:numId w:val="1"/>
        </w:numPr>
      </w:pPr>
      <w:r>
        <w:t>Gender</w:t>
      </w:r>
    </w:p>
    <w:p w:rsidR="00BC7E8E" w:rsidRDefault="00BC7E8E" w:rsidP="00BC7E8E">
      <w:pPr>
        <w:pStyle w:val="ListParagraph"/>
        <w:numPr>
          <w:ilvl w:val="0"/>
          <w:numId w:val="1"/>
        </w:numPr>
      </w:pPr>
      <w:r>
        <w:t>VR Headset type</w:t>
      </w:r>
    </w:p>
    <w:p w:rsidR="00BC7E8E" w:rsidRDefault="00BC7E8E" w:rsidP="00BC7E8E">
      <w:pPr>
        <w:pStyle w:val="ListParagraph"/>
        <w:numPr>
          <w:ilvl w:val="0"/>
          <w:numId w:val="1"/>
        </w:numPr>
      </w:pPr>
      <w:r>
        <w:t>Duration</w:t>
      </w:r>
    </w:p>
    <w:p w:rsidR="00BC7E8E" w:rsidRDefault="00BC7E8E" w:rsidP="00BC7E8E">
      <w:pPr>
        <w:pStyle w:val="Heading2"/>
      </w:pPr>
      <w:r>
        <w:t>Variables</w:t>
      </w:r>
    </w:p>
    <w:p w:rsidR="00BC7E8E" w:rsidRPr="00BC7E8E" w:rsidRDefault="00BC7E8E" w:rsidP="00BC7E8E">
      <w:r w:rsidRPr="00BC7E8E">
        <w:rPr>
          <w:b/>
          <w:bCs/>
        </w:rPr>
        <w:t>Response</w:t>
      </w:r>
      <w:r>
        <w:t>: Immersion Level</w:t>
      </w:r>
    </w:p>
    <w:p w:rsidR="00BC7E8E" w:rsidRPr="00BC7E8E" w:rsidRDefault="00BC7E8E" w:rsidP="00BC7E8E">
      <w:r w:rsidRPr="00BC7E8E">
        <w:rPr>
          <w:b/>
          <w:bCs/>
        </w:rPr>
        <w:t>Predictor(s)</w:t>
      </w:r>
      <w:r>
        <w:t>: Age, Gender, VR Headset type, Duration</w:t>
      </w:r>
    </w:p>
    <w:p w:rsidR="00BC7E8E" w:rsidRDefault="00BC7E8E" w:rsidP="00BC7E8E">
      <w:pPr>
        <w:pStyle w:val="Heading2"/>
      </w:pPr>
      <w:r>
        <w:t>Hypothesis</w:t>
      </w:r>
    </w:p>
    <w:p w:rsidR="00BC7E8E" w:rsidRDefault="00BC7E8E" w:rsidP="00BC7E8E">
      <w:r w:rsidRPr="00BC7E8E">
        <w:rPr>
          <w:b/>
          <w:bCs/>
        </w:rPr>
        <w:t>H0</w:t>
      </w:r>
      <w:r>
        <w:t xml:space="preserve">: There is no relationship between the immersion level and age, gender, VR Headset type, and duration. </w:t>
      </w:r>
    </w:p>
    <w:p w:rsidR="00BC7E8E" w:rsidRDefault="00BC7E8E" w:rsidP="00BC7E8E">
      <w:r w:rsidRPr="00BC7E8E">
        <w:rPr>
          <w:b/>
          <w:bCs/>
        </w:rPr>
        <w:t>H1</w:t>
      </w:r>
      <w:r>
        <w:t>: There exists a relationship between the immersion level and its predictors.</w:t>
      </w:r>
    </w:p>
    <w:p w:rsidR="00BC7E8E" w:rsidRDefault="00BC7E8E" w:rsidP="00BC7E8E">
      <w:pPr>
        <w:pStyle w:val="Heading2"/>
      </w:pPr>
      <w:r>
        <w:t>Dataset</w:t>
      </w:r>
    </w:p>
    <w:p w:rsidR="00BC7E8E" w:rsidRDefault="00BC7E8E" w:rsidP="00BC7E8E">
      <w:r>
        <w:t xml:space="preserve">The dataset can be found at </w:t>
      </w:r>
      <w:hyperlink r:id="rId5" w:history="1">
        <w:r w:rsidRPr="00BC7E8E">
          <w:rPr>
            <w:rStyle w:val="Hyperlink"/>
          </w:rPr>
          <w:t>Kaggle.com</w:t>
        </w:r>
      </w:hyperlink>
    </w:p>
    <w:p w:rsidR="00BC7E8E" w:rsidRDefault="00000000" w:rsidP="00BC7E8E">
      <w:hyperlink r:id="rId6" w:history="1">
        <w:r w:rsidR="00BC7E8E" w:rsidRPr="00245E64">
          <w:rPr>
            <w:rStyle w:val="Hyperlink"/>
          </w:rPr>
          <w:t>https://www.kaggle.com/datasets/aakashjoshi123/virtual-reality-experiences</w:t>
        </w:r>
      </w:hyperlink>
      <w:r w:rsidR="00BC7E8E">
        <w:t xml:space="preserve">  </w:t>
      </w:r>
    </w:p>
    <w:p w:rsidR="00A57B67" w:rsidRDefault="00A57B67" w:rsidP="00A57B67">
      <w:pPr>
        <w:pStyle w:val="Heading2"/>
      </w:pPr>
      <w:r>
        <w:t>Motivation</w:t>
      </w:r>
    </w:p>
    <w:p w:rsidR="00A57B67" w:rsidRDefault="00A57B67" w:rsidP="00A57B67">
      <w:r>
        <w:t xml:space="preserve">I believe user experience </w:t>
      </w:r>
      <w:r w:rsidR="006127E9">
        <w:t>is a useful endeavor to pursue to analyze the data through what I learned in the Machine Learning course. Products exist everywhere, and gathering user feedback and analyzing is a step of import throughout the industry.</w:t>
      </w:r>
    </w:p>
    <w:p w:rsidR="004932A3" w:rsidRDefault="004932A3">
      <w:r>
        <w:br w:type="page"/>
      </w:r>
    </w:p>
    <w:p w:rsidR="004932A3" w:rsidRDefault="004932A3" w:rsidP="004932A3">
      <w:pPr>
        <w:pStyle w:val="Heading1"/>
      </w:pPr>
      <w:r>
        <w:lastRenderedPageBreak/>
        <w:t>Project Report</w:t>
      </w:r>
    </w:p>
    <w:p w:rsidR="004932A3" w:rsidRDefault="004932A3" w:rsidP="004932A3">
      <w:pPr>
        <w:pStyle w:val="Heading2"/>
      </w:pPr>
      <w:r>
        <w:t>Methods</w:t>
      </w:r>
    </w:p>
    <w:p w:rsidR="004932A3" w:rsidRDefault="004932A3" w:rsidP="004932A3">
      <w:r w:rsidRPr="004932A3">
        <w:rPr>
          <w:b/>
          <w:bCs/>
        </w:rPr>
        <w:t>Data Collection</w:t>
      </w:r>
      <w:r>
        <w:t>: Via Kaggle using a preexisting data set for Virtual Reality Experiences.</w:t>
      </w:r>
    </w:p>
    <w:p w:rsidR="004932A3" w:rsidRDefault="004932A3" w:rsidP="004932A3">
      <w:r w:rsidRPr="004932A3">
        <w:rPr>
          <w:b/>
          <w:bCs/>
        </w:rPr>
        <w:t>Data Preprocessing</w:t>
      </w:r>
      <w:r>
        <w:t>: One-hot encoding. Predictors that were categorical in nature were split into separate predictors. Splits shown below:</w:t>
      </w:r>
      <w:r>
        <w:br/>
      </w:r>
      <w:r>
        <w:rPr>
          <w:i/>
          <w:iCs/>
        </w:rPr>
        <w:t xml:space="preserve">Gender </w:t>
      </w:r>
      <w:r>
        <w:t>– Male, Female, Other</w:t>
      </w:r>
      <w:r>
        <w:br/>
      </w:r>
      <w:r>
        <w:rPr>
          <w:i/>
          <w:iCs/>
        </w:rPr>
        <w:t xml:space="preserve">VRHeadset </w:t>
      </w:r>
      <w:r>
        <w:t>– HTCVive, PlayStationVR, OculusRift</w:t>
      </w:r>
      <w:r>
        <w:br/>
        <w:t>Response Variable was changed into categorical, where 1-3 was assigned to ‘NotImmersed’, and 4-5 were assigned to ‘Immersed’.</w:t>
      </w:r>
    </w:p>
    <w:p w:rsidR="004932A3" w:rsidRDefault="004932A3" w:rsidP="004932A3">
      <w:r>
        <w:rPr>
          <w:b/>
          <w:bCs/>
        </w:rPr>
        <w:t xml:space="preserve">Model Selection: </w:t>
      </w:r>
      <w:r>
        <w:t>Used both Logistic Regression and Decision Trees</w:t>
      </w:r>
    </w:p>
    <w:p w:rsidR="004932A3" w:rsidRPr="004932A3" w:rsidRDefault="004932A3" w:rsidP="004932A3">
      <w:r>
        <w:rPr>
          <w:b/>
          <w:bCs/>
        </w:rPr>
        <w:t>Model Validation</w:t>
      </w:r>
      <w:r>
        <w:t xml:space="preserve">: Tested through (10)k-fold validation and LOOCV. </w:t>
      </w:r>
    </w:p>
    <w:p w:rsidR="004932A3" w:rsidRDefault="004932A3" w:rsidP="004932A3">
      <w:r>
        <w:rPr>
          <w:b/>
          <w:bCs/>
        </w:rPr>
        <w:t>Collinearity Testing</w:t>
      </w:r>
      <w:r>
        <w:t>: Tested via scatter plots.</w:t>
      </w:r>
    </w:p>
    <w:p w:rsidR="004932A3" w:rsidRDefault="004932A3" w:rsidP="004932A3">
      <w:pPr>
        <w:pStyle w:val="Heading2"/>
      </w:pPr>
      <w:r>
        <w:t>Results</w:t>
      </w:r>
    </w:p>
    <w:p w:rsidR="00845552" w:rsidRDefault="00F3293D" w:rsidP="00845552">
      <w:pPr>
        <w:pStyle w:val="Heading3"/>
      </w:pPr>
      <w:r>
        <w:t>Model Summary</w:t>
      </w:r>
    </w:p>
    <w:p w:rsidR="00F3293D" w:rsidRPr="00F3293D" w:rsidRDefault="00F3293D" w:rsidP="00F3293D">
      <w:pPr>
        <w:jc w:val="center"/>
      </w:pPr>
      <w:r>
        <w:t>Table 1: Coefficients of each Predictor</w:t>
      </w:r>
    </w:p>
    <w:tbl>
      <w:tblPr>
        <w:tblStyle w:val="TableGrid"/>
        <w:tblW w:w="0" w:type="auto"/>
        <w:tblInd w:w="2605" w:type="dxa"/>
        <w:tblLook w:val="04A0" w:firstRow="1" w:lastRow="0" w:firstColumn="1" w:lastColumn="0" w:noHBand="0" w:noVBand="1"/>
      </w:tblPr>
      <w:tblGrid>
        <w:gridCol w:w="2070"/>
        <w:gridCol w:w="1800"/>
      </w:tblGrid>
      <w:tr w:rsidR="004932A3" w:rsidTr="00845552">
        <w:tc>
          <w:tcPr>
            <w:tcW w:w="2070" w:type="dxa"/>
          </w:tcPr>
          <w:p w:rsidR="004932A3" w:rsidRPr="004932A3" w:rsidRDefault="004932A3" w:rsidP="004932A3">
            <w:pPr>
              <w:rPr>
                <w:b/>
                <w:bCs/>
              </w:rPr>
            </w:pPr>
            <w:r w:rsidRPr="004932A3">
              <w:rPr>
                <w:b/>
                <w:bCs/>
              </w:rPr>
              <w:t>Predictor</w:t>
            </w:r>
          </w:p>
        </w:tc>
        <w:tc>
          <w:tcPr>
            <w:tcW w:w="1800" w:type="dxa"/>
          </w:tcPr>
          <w:p w:rsidR="004932A3" w:rsidRPr="004932A3" w:rsidRDefault="004932A3" w:rsidP="004932A3">
            <w:pPr>
              <w:rPr>
                <w:b/>
                <w:bCs/>
              </w:rPr>
            </w:pPr>
            <w:r w:rsidRPr="004932A3">
              <w:rPr>
                <w:b/>
                <w:bCs/>
              </w:rPr>
              <w:t>Coefficients</w:t>
            </w:r>
          </w:p>
        </w:tc>
      </w:tr>
      <w:tr w:rsidR="004932A3" w:rsidTr="00845552">
        <w:tc>
          <w:tcPr>
            <w:tcW w:w="2070" w:type="dxa"/>
          </w:tcPr>
          <w:p w:rsidR="004932A3" w:rsidRDefault="004932A3" w:rsidP="004932A3">
            <w:r>
              <w:t>HTCVive</w:t>
            </w:r>
          </w:p>
        </w:tc>
        <w:tc>
          <w:tcPr>
            <w:tcW w:w="1800" w:type="dxa"/>
          </w:tcPr>
          <w:p w:rsidR="004932A3" w:rsidRDefault="00845552" w:rsidP="00845552">
            <w:pPr>
              <w:jc w:val="right"/>
            </w:pPr>
            <w:r>
              <w:t>-0.119</w:t>
            </w:r>
          </w:p>
        </w:tc>
      </w:tr>
      <w:tr w:rsidR="004932A3" w:rsidTr="00845552">
        <w:tc>
          <w:tcPr>
            <w:tcW w:w="2070" w:type="dxa"/>
          </w:tcPr>
          <w:p w:rsidR="004932A3" w:rsidRDefault="004932A3" w:rsidP="004932A3">
            <w:r>
              <w:t>PlayStationVR</w:t>
            </w:r>
          </w:p>
        </w:tc>
        <w:tc>
          <w:tcPr>
            <w:tcW w:w="1800" w:type="dxa"/>
          </w:tcPr>
          <w:p w:rsidR="004932A3" w:rsidRDefault="00845552" w:rsidP="00845552">
            <w:pPr>
              <w:jc w:val="right"/>
            </w:pPr>
            <w:r>
              <w:t>-0.012</w:t>
            </w:r>
          </w:p>
        </w:tc>
      </w:tr>
      <w:tr w:rsidR="004932A3" w:rsidTr="00845552">
        <w:tc>
          <w:tcPr>
            <w:tcW w:w="2070" w:type="dxa"/>
          </w:tcPr>
          <w:p w:rsidR="004932A3" w:rsidRDefault="004932A3" w:rsidP="004932A3">
            <w:r>
              <w:t>OculusRift</w:t>
            </w:r>
          </w:p>
        </w:tc>
        <w:tc>
          <w:tcPr>
            <w:tcW w:w="1800" w:type="dxa"/>
          </w:tcPr>
          <w:p w:rsidR="004932A3" w:rsidRDefault="00845552" w:rsidP="00845552">
            <w:pPr>
              <w:jc w:val="right"/>
            </w:pPr>
            <w:r>
              <w:t>-0.080</w:t>
            </w:r>
          </w:p>
        </w:tc>
      </w:tr>
      <w:tr w:rsidR="004932A3" w:rsidTr="00845552">
        <w:tc>
          <w:tcPr>
            <w:tcW w:w="2070" w:type="dxa"/>
          </w:tcPr>
          <w:p w:rsidR="004932A3" w:rsidRDefault="004932A3" w:rsidP="004932A3">
            <w:r>
              <w:t>Male</w:t>
            </w:r>
          </w:p>
        </w:tc>
        <w:tc>
          <w:tcPr>
            <w:tcW w:w="1800" w:type="dxa"/>
          </w:tcPr>
          <w:p w:rsidR="004932A3" w:rsidRDefault="00845552" w:rsidP="00845552">
            <w:pPr>
              <w:jc w:val="right"/>
            </w:pPr>
            <w:r>
              <w:t>0.024</w:t>
            </w:r>
          </w:p>
        </w:tc>
      </w:tr>
      <w:tr w:rsidR="004932A3" w:rsidTr="00845552">
        <w:tc>
          <w:tcPr>
            <w:tcW w:w="2070" w:type="dxa"/>
          </w:tcPr>
          <w:p w:rsidR="004932A3" w:rsidRDefault="004932A3" w:rsidP="004932A3">
            <w:r>
              <w:t>Female</w:t>
            </w:r>
          </w:p>
        </w:tc>
        <w:tc>
          <w:tcPr>
            <w:tcW w:w="1800" w:type="dxa"/>
          </w:tcPr>
          <w:p w:rsidR="004932A3" w:rsidRDefault="00845552" w:rsidP="00845552">
            <w:pPr>
              <w:jc w:val="right"/>
            </w:pPr>
            <w:r>
              <w:t>-0.111</w:t>
            </w:r>
          </w:p>
        </w:tc>
      </w:tr>
      <w:tr w:rsidR="004932A3" w:rsidTr="00845552">
        <w:tc>
          <w:tcPr>
            <w:tcW w:w="2070" w:type="dxa"/>
          </w:tcPr>
          <w:p w:rsidR="004932A3" w:rsidRDefault="004932A3" w:rsidP="004932A3">
            <w:r>
              <w:t>Other</w:t>
            </w:r>
          </w:p>
        </w:tc>
        <w:tc>
          <w:tcPr>
            <w:tcW w:w="1800" w:type="dxa"/>
          </w:tcPr>
          <w:p w:rsidR="004932A3" w:rsidRDefault="00845552" w:rsidP="00845552">
            <w:pPr>
              <w:jc w:val="right"/>
            </w:pPr>
            <w:r>
              <w:t>-0.124</w:t>
            </w:r>
          </w:p>
        </w:tc>
      </w:tr>
      <w:tr w:rsidR="004932A3" w:rsidTr="00845552">
        <w:tc>
          <w:tcPr>
            <w:tcW w:w="2070" w:type="dxa"/>
          </w:tcPr>
          <w:p w:rsidR="004932A3" w:rsidRDefault="004932A3" w:rsidP="004932A3">
            <w:r>
              <w:t>Age</w:t>
            </w:r>
          </w:p>
        </w:tc>
        <w:tc>
          <w:tcPr>
            <w:tcW w:w="1800" w:type="dxa"/>
          </w:tcPr>
          <w:p w:rsidR="004932A3" w:rsidRDefault="00845552" w:rsidP="00845552">
            <w:pPr>
              <w:jc w:val="right"/>
            </w:pPr>
            <w:r>
              <w:t>0.002</w:t>
            </w:r>
          </w:p>
        </w:tc>
      </w:tr>
      <w:tr w:rsidR="004932A3" w:rsidTr="00845552">
        <w:tc>
          <w:tcPr>
            <w:tcW w:w="2070" w:type="dxa"/>
          </w:tcPr>
          <w:p w:rsidR="004932A3" w:rsidRDefault="004932A3" w:rsidP="004932A3">
            <w:r>
              <w:t>Duration</w:t>
            </w:r>
          </w:p>
        </w:tc>
        <w:tc>
          <w:tcPr>
            <w:tcW w:w="1800" w:type="dxa"/>
          </w:tcPr>
          <w:p w:rsidR="004932A3" w:rsidRDefault="00845552" w:rsidP="00845552">
            <w:pPr>
              <w:jc w:val="right"/>
            </w:pPr>
            <w:r>
              <w:t>0.002</w:t>
            </w:r>
          </w:p>
        </w:tc>
      </w:tr>
    </w:tbl>
    <w:p w:rsidR="00845552" w:rsidRDefault="00845552" w:rsidP="004932A3">
      <w:r>
        <w:t xml:space="preserve">Looking at the different VR Headsets in the data, it shows that the one with the most negative correlation to the response is the HTC Vive. The PlayStation VR is very close to 0, while Oculus Rift is close to -0.1 coefficient. Gender also seems to show a negative correlation if you are not Male. The data also states that Age and Duration hardly have an affect on the model, as they are extremely close to 0. </w:t>
      </w:r>
    </w:p>
    <w:p w:rsidR="00845552" w:rsidRDefault="00845552" w:rsidP="004932A3">
      <w:r>
        <w:t>Unfortunately, our model p-values were extremely high, making the Logistic Regression model either not be a good fit for the data set, or I incorrectly split up the data incorrectly.</w:t>
      </w:r>
    </w:p>
    <w:p w:rsidR="00F3293D" w:rsidRPr="004932A3" w:rsidRDefault="00F3293D" w:rsidP="00F3293D">
      <w:pPr>
        <w:jc w:val="center"/>
      </w:pPr>
      <w:r>
        <w:t>Table 2: P-value of each predictor</w:t>
      </w:r>
    </w:p>
    <w:tbl>
      <w:tblPr>
        <w:tblStyle w:val="TableGrid"/>
        <w:tblW w:w="0" w:type="auto"/>
        <w:tblInd w:w="2605" w:type="dxa"/>
        <w:tblLook w:val="04A0" w:firstRow="1" w:lastRow="0" w:firstColumn="1" w:lastColumn="0" w:noHBand="0" w:noVBand="1"/>
      </w:tblPr>
      <w:tblGrid>
        <w:gridCol w:w="2070"/>
        <w:gridCol w:w="1800"/>
      </w:tblGrid>
      <w:tr w:rsidR="00845552" w:rsidTr="00945C24">
        <w:tc>
          <w:tcPr>
            <w:tcW w:w="2070" w:type="dxa"/>
          </w:tcPr>
          <w:p w:rsidR="00845552" w:rsidRPr="004932A3" w:rsidRDefault="00845552" w:rsidP="00945C24">
            <w:pPr>
              <w:rPr>
                <w:b/>
                <w:bCs/>
              </w:rPr>
            </w:pPr>
            <w:r w:rsidRPr="004932A3">
              <w:rPr>
                <w:b/>
                <w:bCs/>
              </w:rPr>
              <w:t>Predictor</w:t>
            </w:r>
          </w:p>
        </w:tc>
        <w:tc>
          <w:tcPr>
            <w:tcW w:w="1800" w:type="dxa"/>
          </w:tcPr>
          <w:p w:rsidR="00845552" w:rsidRPr="004932A3" w:rsidRDefault="00845552" w:rsidP="00945C24">
            <w:pPr>
              <w:rPr>
                <w:b/>
                <w:bCs/>
              </w:rPr>
            </w:pPr>
            <w:r>
              <w:rPr>
                <w:b/>
                <w:bCs/>
              </w:rPr>
              <w:t>P-value</w:t>
            </w:r>
          </w:p>
        </w:tc>
      </w:tr>
      <w:tr w:rsidR="00845552" w:rsidTr="00945C24">
        <w:tc>
          <w:tcPr>
            <w:tcW w:w="2070" w:type="dxa"/>
          </w:tcPr>
          <w:p w:rsidR="00845552" w:rsidRDefault="00845552" w:rsidP="00945C24">
            <w:r>
              <w:t>HTCVive</w:t>
            </w:r>
          </w:p>
        </w:tc>
        <w:tc>
          <w:tcPr>
            <w:tcW w:w="1800" w:type="dxa"/>
          </w:tcPr>
          <w:p w:rsidR="00845552" w:rsidRDefault="00845552" w:rsidP="00945C24">
            <w:pPr>
              <w:jc w:val="right"/>
            </w:pPr>
            <w:r>
              <w:t>1</w:t>
            </w:r>
          </w:p>
        </w:tc>
      </w:tr>
      <w:tr w:rsidR="00845552" w:rsidTr="00945C24">
        <w:tc>
          <w:tcPr>
            <w:tcW w:w="2070" w:type="dxa"/>
          </w:tcPr>
          <w:p w:rsidR="00845552" w:rsidRDefault="00845552" w:rsidP="00945C24">
            <w:r>
              <w:t>PlayStationVR</w:t>
            </w:r>
          </w:p>
        </w:tc>
        <w:tc>
          <w:tcPr>
            <w:tcW w:w="1800" w:type="dxa"/>
          </w:tcPr>
          <w:p w:rsidR="00845552" w:rsidRDefault="00845552" w:rsidP="00945C24">
            <w:pPr>
              <w:jc w:val="right"/>
            </w:pPr>
            <w:r>
              <w:t>1</w:t>
            </w:r>
          </w:p>
        </w:tc>
      </w:tr>
      <w:tr w:rsidR="00845552" w:rsidTr="00945C24">
        <w:tc>
          <w:tcPr>
            <w:tcW w:w="2070" w:type="dxa"/>
          </w:tcPr>
          <w:p w:rsidR="00845552" w:rsidRDefault="00845552" w:rsidP="00945C24">
            <w:r>
              <w:t>OculusRift</w:t>
            </w:r>
          </w:p>
        </w:tc>
        <w:tc>
          <w:tcPr>
            <w:tcW w:w="1800" w:type="dxa"/>
          </w:tcPr>
          <w:p w:rsidR="00845552" w:rsidRDefault="00845552" w:rsidP="00945C24">
            <w:pPr>
              <w:jc w:val="right"/>
            </w:pPr>
            <w:r>
              <w:t>1</w:t>
            </w:r>
          </w:p>
        </w:tc>
      </w:tr>
      <w:tr w:rsidR="00845552" w:rsidTr="00945C24">
        <w:tc>
          <w:tcPr>
            <w:tcW w:w="2070" w:type="dxa"/>
          </w:tcPr>
          <w:p w:rsidR="00845552" w:rsidRDefault="00845552" w:rsidP="00945C24">
            <w:r>
              <w:t>Male</w:t>
            </w:r>
          </w:p>
        </w:tc>
        <w:tc>
          <w:tcPr>
            <w:tcW w:w="1800" w:type="dxa"/>
          </w:tcPr>
          <w:p w:rsidR="00845552" w:rsidRDefault="00845552" w:rsidP="00945C24">
            <w:pPr>
              <w:jc w:val="right"/>
            </w:pPr>
            <w:r>
              <w:t>1</w:t>
            </w:r>
          </w:p>
        </w:tc>
      </w:tr>
      <w:tr w:rsidR="00845552" w:rsidTr="00945C24">
        <w:tc>
          <w:tcPr>
            <w:tcW w:w="2070" w:type="dxa"/>
          </w:tcPr>
          <w:p w:rsidR="00845552" w:rsidRDefault="00845552" w:rsidP="00945C24">
            <w:r>
              <w:t>Female</w:t>
            </w:r>
          </w:p>
        </w:tc>
        <w:tc>
          <w:tcPr>
            <w:tcW w:w="1800" w:type="dxa"/>
          </w:tcPr>
          <w:p w:rsidR="00845552" w:rsidRDefault="00845552" w:rsidP="00945C24">
            <w:pPr>
              <w:jc w:val="right"/>
            </w:pPr>
            <w:r>
              <w:t>1</w:t>
            </w:r>
          </w:p>
        </w:tc>
      </w:tr>
      <w:tr w:rsidR="00845552" w:rsidTr="00945C24">
        <w:tc>
          <w:tcPr>
            <w:tcW w:w="2070" w:type="dxa"/>
          </w:tcPr>
          <w:p w:rsidR="00845552" w:rsidRDefault="00845552" w:rsidP="00945C24">
            <w:r>
              <w:t>Other</w:t>
            </w:r>
          </w:p>
        </w:tc>
        <w:tc>
          <w:tcPr>
            <w:tcW w:w="1800" w:type="dxa"/>
          </w:tcPr>
          <w:p w:rsidR="00845552" w:rsidRDefault="00845552" w:rsidP="00945C24">
            <w:pPr>
              <w:jc w:val="right"/>
            </w:pPr>
            <w:r>
              <w:t>1</w:t>
            </w:r>
          </w:p>
        </w:tc>
      </w:tr>
      <w:tr w:rsidR="00845552" w:rsidTr="00945C24">
        <w:tc>
          <w:tcPr>
            <w:tcW w:w="2070" w:type="dxa"/>
          </w:tcPr>
          <w:p w:rsidR="00845552" w:rsidRDefault="00845552" w:rsidP="00945C24">
            <w:r>
              <w:t>Age</w:t>
            </w:r>
          </w:p>
        </w:tc>
        <w:tc>
          <w:tcPr>
            <w:tcW w:w="1800" w:type="dxa"/>
          </w:tcPr>
          <w:p w:rsidR="00845552" w:rsidRDefault="00845552" w:rsidP="00945C24">
            <w:pPr>
              <w:jc w:val="right"/>
            </w:pPr>
            <w:r>
              <w:t>0.675</w:t>
            </w:r>
          </w:p>
        </w:tc>
      </w:tr>
      <w:tr w:rsidR="00845552" w:rsidTr="00945C24">
        <w:tc>
          <w:tcPr>
            <w:tcW w:w="2070" w:type="dxa"/>
          </w:tcPr>
          <w:p w:rsidR="00845552" w:rsidRDefault="00845552" w:rsidP="00945C24">
            <w:r>
              <w:lastRenderedPageBreak/>
              <w:t>Duration</w:t>
            </w:r>
          </w:p>
        </w:tc>
        <w:tc>
          <w:tcPr>
            <w:tcW w:w="1800" w:type="dxa"/>
          </w:tcPr>
          <w:p w:rsidR="00845552" w:rsidRDefault="00845552" w:rsidP="00945C24">
            <w:pPr>
              <w:jc w:val="right"/>
            </w:pPr>
            <w:r>
              <w:t>0.593</w:t>
            </w:r>
          </w:p>
        </w:tc>
      </w:tr>
    </w:tbl>
    <w:p w:rsidR="00845552" w:rsidRDefault="00F3293D" w:rsidP="00F3293D">
      <w:pPr>
        <w:pStyle w:val="Heading3"/>
      </w:pPr>
      <w:r>
        <w:t>Accuracy and Validation Results</w:t>
      </w:r>
    </w:p>
    <w:p w:rsidR="00F3293D" w:rsidRDefault="00F3293D" w:rsidP="00F3293D">
      <w:r>
        <w:t xml:space="preserve">For accuracy and Validation, we used the k-fold cross validation method and the Leave One Out Cross Validation (LOOCV) method. </w:t>
      </w:r>
      <w:r w:rsidR="00C74BD7">
        <w:t>I eventually chose to use the 10-fold model, as the value of k=10 is a standard number, and the accuracy was higher in the 10-fold model rather than the 5-fold model.</w:t>
      </w:r>
    </w:p>
    <w:p w:rsidR="00F3293D" w:rsidRDefault="00F3293D" w:rsidP="00F3293D">
      <w:pPr>
        <w:jc w:val="center"/>
      </w:pPr>
      <w:r>
        <w:t>Table 3: Validation Methods and Accuracy</w:t>
      </w:r>
    </w:p>
    <w:tbl>
      <w:tblPr>
        <w:tblStyle w:val="TableGrid"/>
        <w:tblW w:w="0" w:type="auto"/>
        <w:tblInd w:w="2605" w:type="dxa"/>
        <w:tblLook w:val="04A0" w:firstRow="1" w:lastRow="0" w:firstColumn="1" w:lastColumn="0" w:noHBand="0" w:noVBand="1"/>
      </w:tblPr>
      <w:tblGrid>
        <w:gridCol w:w="2070"/>
        <w:gridCol w:w="1800"/>
      </w:tblGrid>
      <w:tr w:rsidR="00F3293D" w:rsidRPr="004932A3" w:rsidTr="00945C24">
        <w:tc>
          <w:tcPr>
            <w:tcW w:w="2070" w:type="dxa"/>
          </w:tcPr>
          <w:p w:rsidR="00F3293D" w:rsidRPr="004932A3" w:rsidRDefault="00F3293D" w:rsidP="00945C24">
            <w:pPr>
              <w:rPr>
                <w:b/>
                <w:bCs/>
              </w:rPr>
            </w:pPr>
            <w:r>
              <w:rPr>
                <w:b/>
                <w:bCs/>
              </w:rPr>
              <w:t>Validation Method</w:t>
            </w:r>
          </w:p>
        </w:tc>
        <w:tc>
          <w:tcPr>
            <w:tcW w:w="1800" w:type="dxa"/>
          </w:tcPr>
          <w:p w:rsidR="00F3293D" w:rsidRPr="004932A3" w:rsidRDefault="00F3293D" w:rsidP="00945C24">
            <w:pPr>
              <w:rPr>
                <w:b/>
                <w:bCs/>
              </w:rPr>
            </w:pPr>
            <w:r>
              <w:rPr>
                <w:b/>
                <w:bCs/>
              </w:rPr>
              <w:t>Accuracy</w:t>
            </w:r>
          </w:p>
        </w:tc>
      </w:tr>
      <w:tr w:rsidR="00F3293D" w:rsidTr="00945C24">
        <w:tc>
          <w:tcPr>
            <w:tcW w:w="2070" w:type="dxa"/>
          </w:tcPr>
          <w:p w:rsidR="00F3293D" w:rsidRDefault="00F3293D" w:rsidP="00945C24">
            <w:r>
              <w:t>5-fold</w:t>
            </w:r>
          </w:p>
        </w:tc>
        <w:tc>
          <w:tcPr>
            <w:tcW w:w="1800" w:type="dxa"/>
          </w:tcPr>
          <w:p w:rsidR="00F3293D" w:rsidRDefault="00F3293D" w:rsidP="00945C24">
            <w:pPr>
              <w:jc w:val="right"/>
            </w:pPr>
            <w:r>
              <w:t>0.601</w:t>
            </w:r>
          </w:p>
        </w:tc>
      </w:tr>
      <w:tr w:rsidR="00F3293D" w:rsidTr="00945C24">
        <w:tc>
          <w:tcPr>
            <w:tcW w:w="2070" w:type="dxa"/>
          </w:tcPr>
          <w:p w:rsidR="00F3293D" w:rsidRDefault="00F3293D" w:rsidP="00945C24">
            <w:r>
              <w:t>10-fold</w:t>
            </w:r>
          </w:p>
        </w:tc>
        <w:tc>
          <w:tcPr>
            <w:tcW w:w="1800" w:type="dxa"/>
          </w:tcPr>
          <w:p w:rsidR="00F3293D" w:rsidRDefault="00F3293D" w:rsidP="00945C24">
            <w:pPr>
              <w:jc w:val="right"/>
            </w:pPr>
            <w:r>
              <w:t>0.603</w:t>
            </w:r>
          </w:p>
        </w:tc>
      </w:tr>
      <w:tr w:rsidR="00F3293D" w:rsidTr="00945C24">
        <w:tc>
          <w:tcPr>
            <w:tcW w:w="2070" w:type="dxa"/>
          </w:tcPr>
          <w:p w:rsidR="00F3293D" w:rsidRDefault="00F3293D" w:rsidP="00945C24">
            <w:r>
              <w:t>LOOCV</w:t>
            </w:r>
          </w:p>
        </w:tc>
        <w:tc>
          <w:tcPr>
            <w:tcW w:w="1800" w:type="dxa"/>
          </w:tcPr>
          <w:p w:rsidR="00F3293D" w:rsidRDefault="00F3293D" w:rsidP="00945C24">
            <w:pPr>
              <w:jc w:val="right"/>
            </w:pPr>
            <w:r>
              <w:t>0.603</w:t>
            </w:r>
          </w:p>
        </w:tc>
      </w:tr>
    </w:tbl>
    <w:p w:rsidR="00F3293D" w:rsidRDefault="00F3293D" w:rsidP="00F3293D">
      <w:r>
        <w:t>While the accuracies being relatively similar looks promising, this can also demonstrate that there is linearity in the data or the data is overfit. In the case of using the Logistic Regression model, I believe that the dataset I used and categorized has cause the data to overfit. It can also be a sign that the estimate for the performance of the model is true.</w:t>
      </w:r>
    </w:p>
    <w:p w:rsidR="00F3293D" w:rsidRDefault="00F3293D" w:rsidP="00F3293D">
      <w:pPr>
        <w:pStyle w:val="Heading3"/>
      </w:pPr>
      <w:r>
        <w:t>Collinearity</w:t>
      </w:r>
    </w:p>
    <w:p w:rsidR="00F3293D" w:rsidRDefault="00F3293D" w:rsidP="00F3293D">
      <w:r>
        <w:t xml:space="preserve">I used pair-plots to determine if there is a linear relationship between predictors. </w:t>
      </w:r>
    </w:p>
    <w:p w:rsidR="00F3293D" w:rsidRDefault="00F3293D" w:rsidP="00F3293D">
      <w:pPr>
        <w:jc w:val="center"/>
      </w:pPr>
      <w:r w:rsidRPr="00F3293D">
        <w:drawing>
          <wp:inline distT="0" distB="0" distL="0" distR="0" wp14:anchorId="5AF3ED18" wp14:editId="337D1F03">
            <wp:extent cx="3543795" cy="3620005"/>
            <wp:effectExtent l="0" t="0" r="0" b="0"/>
            <wp:docPr id="1294139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39659" name=""/>
                    <pic:cNvPicPr/>
                  </pic:nvPicPr>
                  <pic:blipFill>
                    <a:blip r:embed="rId7"/>
                    <a:stretch>
                      <a:fillRect/>
                    </a:stretch>
                  </pic:blipFill>
                  <pic:spPr>
                    <a:xfrm>
                      <a:off x="0" y="0"/>
                      <a:ext cx="3543795" cy="3620005"/>
                    </a:xfrm>
                    <a:prstGeom prst="rect">
                      <a:avLst/>
                    </a:prstGeom>
                  </pic:spPr>
                </pic:pic>
              </a:graphicData>
            </a:graphic>
          </wp:inline>
        </w:drawing>
      </w:r>
    </w:p>
    <w:p w:rsidR="00F3293D" w:rsidRDefault="00F3293D" w:rsidP="00F3293D">
      <w:pPr>
        <w:jc w:val="center"/>
      </w:pPr>
      <w:r>
        <w:t>Figure 1: Snippet of pair plots for Collinearity</w:t>
      </w:r>
    </w:p>
    <w:p w:rsidR="00F3293D" w:rsidRDefault="00F3293D" w:rsidP="00F3293D">
      <w:r>
        <w:t xml:space="preserve">Due to the nature of the data being mostly categorical, we have pair plots that show has two distinct vertical lines, which can be an indication of collinearity between the predictors. There also exists plots with data only existing in one of the 4 corners of the plot. In Figure 1, we see a plot with datapoints </w:t>
      </w:r>
      <w:r>
        <w:lastRenderedPageBreak/>
        <w:t>existing all over the graph, indicating there is no collinearity between those predictors, Age and Duration. Oddly enough, Age and Duration were the ones that I did not categorize.</w:t>
      </w:r>
    </w:p>
    <w:p w:rsidR="00F3293D" w:rsidRDefault="00F3293D" w:rsidP="00F3293D">
      <w:pPr>
        <w:pStyle w:val="Heading3"/>
      </w:pPr>
      <w:r>
        <w:t>PCA Results</w:t>
      </w:r>
    </w:p>
    <w:p w:rsidR="00F3293D" w:rsidRDefault="00F3293D" w:rsidP="00F3293D">
      <w:r>
        <w:t xml:space="preserve">As for our PCA results, I have solved for the values of Cn, where n is a number 1 through 8. </w:t>
      </w:r>
      <w:r w:rsidR="006C64F6">
        <w:t>The Eigenvalues and Eigenvectors can be seen in the code, as the list for them is huge. In Table 4, we have the coefficients listed for each Cn.</w:t>
      </w:r>
    </w:p>
    <w:p w:rsidR="006C64F6" w:rsidRDefault="006C64F6" w:rsidP="006C64F6">
      <w:pPr>
        <w:jc w:val="center"/>
      </w:pPr>
      <w:r>
        <w:t>Table 5: PCs and their coefficients</w:t>
      </w:r>
    </w:p>
    <w:tbl>
      <w:tblPr>
        <w:tblStyle w:val="TableGrid"/>
        <w:tblW w:w="0" w:type="auto"/>
        <w:tblInd w:w="2605" w:type="dxa"/>
        <w:tblLook w:val="04A0" w:firstRow="1" w:lastRow="0" w:firstColumn="1" w:lastColumn="0" w:noHBand="0" w:noVBand="1"/>
      </w:tblPr>
      <w:tblGrid>
        <w:gridCol w:w="2070"/>
        <w:gridCol w:w="1800"/>
      </w:tblGrid>
      <w:tr w:rsidR="006C64F6" w:rsidRPr="004932A3" w:rsidTr="00945C24">
        <w:tc>
          <w:tcPr>
            <w:tcW w:w="2070" w:type="dxa"/>
          </w:tcPr>
          <w:p w:rsidR="006C64F6" w:rsidRPr="004932A3" w:rsidRDefault="006C64F6" w:rsidP="00945C24">
            <w:pPr>
              <w:rPr>
                <w:b/>
                <w:bCs/>
              </w:rPr>
            </w:pPr>
            <w:r>
              <w:rPr>
                <w:b/>
                <w:bCs/>
              </w:rPr>
              <w:t>PCs</w:t>
            </w:r>
          </w:p>
        </w:tc>
        <w:tc>
          <w:tcPr>
            <w:tcW w:w="1800" w:type="dxa"/>
          </w:tcPr>
          <w:p w:rsidR="006C64F6" w:rsidRPr="004932A3" w:rsidRDefault="006C64F6" w:rsidP="00945C24">
            <w:pPr>
              <w:rPr>
                <w:b/>
                <w:bCs/>
              </w:rPr>
            </w:pPr>
            <w:r>
              <w:rPr>
                <w:b/>
                <w:bCs/>
              </w:rPr>
              <w:t>Coefficients</w:t>
            </w:r>
          </w:p>
        </w:tc>
      </w:tr>
      <w:tr w:rsidR="006C64F6" w:rsidTr="00945C24">
        <w:tc>
          <w:tcPr>
            <w:tcW w:w="2070" w:type="dxa"/>
          </w:tcPr>
          <w:p w:rsidR="006C64F6" w:rsidRDefault="006C64F6" w:rsidP="00945C24">
            <w:r>
              <w:t>C1</w:t>
            </w:r>
          </w:p>
        </w:tc>
        <w:tc>
          <w:tcPr>
            <w:tcW w:w="1800" w:type="dxa"/>
          </w:tcPr>
          <w:p w:rsidR="006C64F6" w:rsidRDefault="006C64F6" w:rsidP="006C64F6">
            <w:pPr>
              <w:tabs>
                <w:tab w:val="center" w:pos="792"/>
                <w:tab w:val="right" w:pos="1584"/>
              </w:tabs>
              <w:jc w:val="right"/>
            </w:pPr>
            <w:r>
              <w:t>0.0043</w:t>
            </w:r>
          </w:p>
        </w:tc>
      </w:tr>
      <w:tr w:rsidR="006C64F6" w:rsidTr="00945C24">
        <w:tc>
          <w:tcPr>
            <w:tcW w:w="2070" w:type="dxa"/>
          </w:tcPr>
          <w:p w:rsidR="006C64F6" w:rsidRDefault="006C64F6" w:rsidP="006C64F6">
            <w:r>
              <w:t>C</w:t>
            </w:r>
            <w:r>
              <w:t>2</w:t>
            </w:r>
          </w:p>
        </w:tc>
        <w:tc>
          <w:tcPr>
            <w:tcW w:w="1800" w:type="dxa"/>
          </w:tcPr>
          <w:p w:rsidR="006C64F6" w:rsidRDefault="006C64F6" w:rsidP="006C64F6">
            <w:pPr>
              <w:jc w:val="right"/>
            </w:pPr>
            <w:r>
              <w:t>-0.0259</w:t>
            </w:r>
          </w:p>
        </w:tc>
      </w:tr>
      <w:tr w:rsidR="006C64F6" w:rsidTr="00945C24">
        <w:tc>
          <w:tcPr>
            <w:tcW w:w="2070" w:type="dxa"/>
          </w:tcPr>
          <w:p w:rsidR="006C64F6" w:rsidRDefault="006C64F6" w:rsidP="006C64F6">
            <w:r>
              <w:t>C</w:t>
            </w:r>
            <w:r>
              <w:t>3</w:t>
            </w:r>
          </w:p>
        </w:tc>
        <w:tc>
          <w:tcPr>
            <w:tcW w:w="1800" w:type="dxa"/>
          </w:tcPr>
          <w:p w:rsidR="006C64F6" w:rsidRDefault="006C64F6" w:rsidP="006C64F6">
            <w:pPr>
              <w:jc w:val="right"/>
            </w:pPr>
            <w:r>
              <w:t>0.0245</w:t>
            </w:r>
          </w:p>
        </w:tc>
      </w:tr>
      <w:tr w:rsidR="006C64F6" w:rsidTr="00945C24">
        <w:tc>
          <w:tcPr>
            <w:tcW w:w="2070" w:type="dxa"/>
          </w:tcPr>
          <w:p w:rsidR="006C64F6" w:rsidRDefault="006C64F6" w:rsidP="006C64F6">
            <w:r>
              <w:t>C</w:t>
            </w:r>
            <w:r>
              <w:t>4</w:t>
            </w:r>
          </w:p>
        </w:tc>
        <w:tc>
          <w:tcPr>
            <w:tcW w:w="1800" w:type="dxa"/>
          </w:tcPr>
          <w:p w:rsidR="006C64F6" w:rsidRDefault="006C64F6" w:rsidP="006C64F6">
            <w:pPr>
              <w:jc w:val="right"/>
            </w:pPr>
            <w:r>
              <w:t>0.0075</w:t>
            </w:r>
          </w:p>
        </w:tc>
      </w:tr>
      <w:tr w:rsidR="006C64F6" w:rsidTr="00945C24">
        <w:tc>
          <w:tcPr>
            <w:tcW w:w="2070" w:type="dxa"/>
          </w:tcPr>
          <w:p w:rsidR="006C64F6" w:rsidRDefault="006C64F6" w:rsidP="006C64F6">
            <w:r>
              <w:t>C</w:t>
            </w:r>
            <w:r>
              <w:t>5</w:t>
            </w:r>
          </w:p>
        </w:tc>
        <w:tc>
          <w:tcPr>
            <w:tcW w:w="1800" w:type="dxa"/>
          </w:tcPr>
          <w:p w:rsidR="006C64F6" w:rsidRDefault="006C64F6" w:rsidP="006C64F6">
            <w:pPr>
              <w:jc w:val="right"/>
            </w:pPr>
            <w:r>
              <w:t>0.0099</w:t>
            </w:r>
          </w:p>
        </w:tc>
      </w:tr>
      <w:tr w:rsidR="006C64F6" w:rsidTr="00945C24">
        <w:tc>
          <w:tcPr>
            <w:tcW w:w="2070" w:type="dxa"/>
          </w:tcPr>
          <w:p w:rsidR="006C64F6" w:rsidRDefault="006C64F6" w:rsidP="006C64F6">
            <w:r>
              <w:t>C</w:t>
            </w:r>
            <w:r>
              <w:t>6</w:t>
            </w:r>
          </w:p>
        </w:tc>
        <w:tc>
          <w:tcPr>
            <w:tcW w:w="1800" w:type="dxa"/>
          </w:tcPr>
          <w:p w:rsidR="006C64F6" w:rsidRDefault="006C64F6" w:rsidP="006C64F6">
            <w:pPr>
              <w:jc w:val="right"/>
            </w:pPr>
            <w:r>
              <w:t>-0.0086</w:t>
            </w:r>
          </w:p>
        </w:tc>
      </w:tr>
      <w:tr w:rsidR="006C64F6" w:rsidTr="00945C24">
        <w:tc>
          <w:tcPr>
            <w:tcW w:w="2070" w:type="dxa"/>
          </w:tcPr>
          <w:p w:rsidR="006C64F6" w:rsidRDefault="006C64F6" w:rsidP="006C64F6">
            <w:r>
              <w:t>C</w:t>
            </w:r>
            <w:r>
              <w:t>7</w:t>
            </w:r>
          </w:p>
        </w:tc>
        <w:tc>
          <w:tcPr>
            <w:tcW w:w="1800" w:type="dxa"/>
          </w:tcPr>
          <w:p w:rsidR="006C64F6" w:rsidRDefault="006C64F6" w:rsidP="006C64F6">
            <w:pPr>
              <w:jc w:val="right"/>
            </w:pPr>
            <w:r>
              <w:t>-1.008e+13</w:t>
            </w:r>
          </w:p>
        </w:tc>
      </w:tr>
      <w:tr w:rsidR="006C64F6" w:rsidTr="00945C24">
        <w:tc>
          <w:tcPr>
            <w:tcW w:w="2070" w:type="dxa"/>
          </w:tcPr>
          <w:p w:rsidR="006C64F6" w:rsidRDefault="006C64F6" w:rsidP="006C64F6">
            <w:r>
              <w:t>C</w:t>
            </w:r>
            <w:r>
              <w:t>8</w:t>
            </w:r>
          </w:p>
        </w:tc>
        <w:tc>
          <w:tcPr>
            <w:tcW w:w="1800" w:type="dxa"/>
          </w:tcPr>
          <w:p w:rsidR="006C64F6" w:rsidRDefault="006C64F6" w:rsidP="006C64F6">
            <w:pPr>
              <w:jc w:val="right"/>
            </w:pPr>
            <w:r>
              <w:t>5.551e+13</w:t>
            </w:r>
          </w:p>
        </w:tc>
      </w:tr>
    </w:tbl>
    <w:p w:rsidR="006C64F6" w:rsidRDefault="006C64F6" w:rsidP="00F3293D">
      <w:r>
        <w:t>As you can see in the table, we have C7 and C8 with coefficients in the upwards of millions, and some are zero. As I didn’t have data values remotely close to the value of millions, this can indicate that those features have a strong influence in the direction of the PC.</w:t>
      </w:r>
    </w:p>
    <w:p w:rsidR="006C64F6" w:rsidRDefault="006C64F6" w:rsidP="006C64F6">
      <w:pPr>
        <w:pStyle w:val="Heading3"/>
      </w:pPr>
      <w:r>
        <w:t>Decision Tree</w:t>
      </w:r>
    </w:p>
    <w:p w:rsidR="006C64F6" w:rsidRDefault="006C64F6" w:rsidP="00F3293D">
      <w:r>
        <w:t>With all these awkward data values and misfits, I concluded that the data overfit the model. So I created a Decision Tree.</w:t>
      </w:r>
    </w:p>
    <w:p w:rsidR="006C64F6" w:rsidRDefault="006C64F6" w:rsidP="00F3293D">
      <w:r>
        <w:t>Initially, I started with a decision tree with a depth of 10. This led to an accuracy of 0.544, which is lower than the logistic regression model. I was able to get the importance of each feature.</w:t>
      </w:r>
    </w:p>
    <w:p w:rsidR="006C64F6" w:rsidRDefault="006C64F6" w:rsidP="006C64F6">
      <w:pPr>
        <w:jc w:val="center"/>
      </w:pPr>
      <w:r>
        <w:t>Table 6: Feature Importance</w:t>
      </w:r>
    </w:p>
    <w:tbl>
      <w:tblPr>
        <w:tblStyle w:val="TableGrid"/>
        <w:tblW w:w="0" w:type="auto"/>
        <w:tblInd w:w="2605" w:type="dxa"/>
        <w:tblLook w:val="04A0" w:firstRow="1" w:lastRow="0" w:firstColumn="1" w:lastColumn="0" w:noHBand="0" w:noVBand="1"/>
      </w:tblPr>
      <w:tblGrid>
        <w:gridCol w:w="2070"/>
        <w:gridCol w:w="1800"/>
      </w:tblGrid>
      <w:tr w:rsidR="006C64F6" w:rsidRPr="004932A3" w:rsidTr="00945C24">
        <w:tc>
          <w:tcPr>
            <w:tcW w:w="2070" w:type="dxa"/>
          </w:tcPr>
          <w:p w:rsidR="006C64F6" w:rsidRPr="004932A3" w:rsidRDefault="006C64F6" w:rsidP="00945C24">
            <w:pPr>
              <w:rPr>
                <w:b/>
                <w:bCs/>
              </w:rPr>
            </w:pPr>
            <w:r>
              <w:rPr>
                <w:b/>
                <w:bCs/>
              </w:rPr>
              <w:t>Feature</w:t>
            </w:r>
          </w:p>
        </w:tc>
        <w:tc>
          <w:tcPr>
            <w:tcW w:w="1800" w:type="dxa"/>
          </w:tcPr>
          <w:p w:rsidR="006C64F6" w:rsidRPr="004932A3" w:rsidRDefault="006C64F6" w:rsidP="00945C24">
            <w:pPr>
              <w:rPr>
                <w:b/>
                <w:bCs/>
              </w:rPr>
            </w:pPr>
            <w:r>
              <w:rPr>
                <w:b/>
                <w:bCs/>
              </w:rPr>
              <w:t>Importance</w:t>
            </w:r>
          </w:p>
        </w:tc>
      </w:tr>
      <w:tr w:rsidR="006C64F6" w:rsidTr="00945C24">
        <w:tc>
          <w:tcPr>
            <w:tcW w:w="2070" w:type="dxa"/>
          </w:tcPr>
          <w:p w:rsidR="006C64F6" w:rsidRDefault="006C64F6" w:rsidP="00945C24">
            <w:r>
              <w:t>HTCVive</w:t>
            </w:r>
          </w:p>
        </w:tc>
        <w:tc>
          <w:tcPr>
            <w:tcW w:w="1800" w:type="dxa"/>
          </w:tcPr>
          <w:p w:rsidR="006C64F6" w:rsidRDefault="006C64F6" w:rsidP="00945C24">
            <w:pPr>
              <w:jc w:val="right"/>
            </w:pPr>
            <w:r>
              <w:t>0.04</w:t>
            </w:r>
          </w:p>
        </w:tc>
      </w:tr>
      <w:tr w:rsidR="006C64F6" w:rsidTr="00945C24">
        <w:tc>
          <w:tcPr>
            <w:tcW w:w="2070" w:type="dxa"/>
          </w:tcPr>
          <w:p w:rsidR="006C64F6" w:rsidRDefault="006C64F6" w:rsidP="00945C24">
            <w:r>
              <w:t>PlayStationVR</w:t>
            </w:r>
          </w:p>
        </w:tc>
        <w:tc>
          <w:tcPr>
            <w:tcW w:w="1800" w:type="dxa"/>
          </w:tcPr>
          <w:p w:rsidR="006C64F6" w:rsidRDefault="006C64F6" w:rsidP="00945C24">
            <w:pPr>
              <w:jc w:val="right"/>
            </w:pPr>
            <w:r>
              <w:t>0.04</w:t>
            </w:r>
          </w:p>
        </w:tc>
      </w:tr>
      <w:tr w:rsidR="006C64F6" w:rsidTr="00945C24">
        <w:tc>
          <w:tcPr>
            <w:tcW w:w="2070" w:type="dxa"/>
          </w:tcPr>
          <w:p w:rsidR="006C64F6" w:rsidRDefault="006C64F6" w:rsidP="00945C24">
            <w:r>
              <w:t>OculusRift</w:t>
            </w:r>
          </w:p>
        </w:tc>
        <w:tc>
          <w:tcPr>
            <w:tcW w:w="1800" w:type="dxa"/>
          </w:tcPr>
          <w:p w:rsidR="006C64F6" w:rsidRDefault="006C64F6" w:rsidP="00945C24">
            <w:pPr>
              <w:jc w:val="right"/>
            </w:pPr>
            <w:r>
              <w:t>0</w:t>
            </w:r>
          </w:p>
        </w:tc>
      </w:tr>
      <w:tr w:rsidR="006C64F6" w:rsidTr="00945C24">
        <w:tc>
          <w:tcPr>
            <w:tcW w:w="2070" w:type="dxa"/>
          </w:tcPr>
          <w:p w:rsidR="006C64F6" w:rsidRDefault="006C64F6" w:rsidP="00945C24">
            <w:r>
              <w:t>Male</w:t>
            </w:r>
          </w:p>
        </w:tc>
        <w:tc>
          <w:tcPr>
            <w:tcW w:w="1800" w:type="dxa"/>
          </w:tcPr>
          <w:p w:rsidR="006C64F6" w:rsidRDefault="007B24C9" w:rsidP="00945C24">
            <w:pPr>
              <w:jc w:val="right"/>
            </w:pPr>
            <w:r>
              <w:t>0.02</w:t>
            </w:r>
          </w:p>
        </w:tc>
      </w:tr>
      <w:tr w:rsidR="006C64F6" w:rsidTr="00945C24">
        <w:tc>
          <w:tcPr>
            <w:tcW w:w="2070" w:type="dxa"/>
          </w:tcPr>
          <w:p w:rsidR="006C64F6" w:rsidRDefault="006C64F6" w:rsidP="00945C24">
            <w:r>
              <w:t>Female</w:t>
            </w:r>
          </w:p>
        </w:tc>
        <w:tc>
          <w:tcPr>
            <w:tcW w:w="1800" w:type="dxa"/>
          </w:tcPr>
          <w:p w:rsidR="006C64F6" w:rsidRDefault="006C64F6" w:rsidP="00945C24">
            <w:pPr>
              <w:jc w:val="right"/>
            </w:pPr>
            <w:r>
              <w:t>0.0</w:t>
            </w:r>
            <w:r w:rsidR="007B24C9">
              <w:t>4</w:t>
            </w:r>
          </w:p>
        </w:tc>
      </w:tr>
      <w:tr w:rsidR="006C64F6" w:rsidTr="00945C24">
        <w:tc>
          <w:tcPr>
            <w:tcW w:w="2070" w:type="dxa"/>
          </w:tcPr>
          <w:p w:rsidR="006C64F6" w:rsidRDefault="006C64F6" w:rsidP="00945C24">
            <w:r>
              <w:t>Other</w:t>
            </w:r>
          </w:p>
        </w:tc>
        <w:tc>
          <w:tcPr>
            <w:tcW w:w="1800" w:type="dxa"/>
          </w:tcPr>
          <w:p w:rsidR="006C64F6" w:rsidRDefault="007B24C9" w:rsidP="00945C24">
            <w:pPr>
              <w:jc w:val="right"/>
            </w:pPr>
            <w:r>
              <w:t>0.01</w:t>
            </w:r>
          </w:p>
        </w:tc>
      </w:tr>
      <w:tr w:rsidR="006C64F6" w:rsidTr="00945C24">
        <w:tc>
          <w:tcPr>
            <w:tcW w:w="2070" w:type="dxa"/>
          </w:tcPr>
          <w:p w:rsidR="006C64F6" w:rsidRDefault="006C64F6" w:rsidP="00945C24">
            <w:r>
              <w:t>Age</w:t>
            </w:r>
          </w:p>
        </w:tc>
        <w:tc>
          <w:tcPr>
            <w:tcW w:w="1800" w:type="dxa"/>
          </w:tcPr>
          <w:p w:rsidR="006C64F6" w:rsidRDefault="007B24C9" w:rsidP="00945C24">
            <w:pPr>
              <w:jc w:val="right"/>
            </w:pPr>
            <w:r>
              <w:t>0.29</w:t>
            </w:r>
          </w:p>
        </w:tc>
      </w:tr>
      <w:tr w:rsidR="006C64F6" w:rsidTr="00945C24">
        <w:tc>
          <w:tcPr>
            <w:tcW w:w="2070" w:type="dxa"/>
          </w:tcPr>
          <w:p w:rsidR="006C64F6" w:rsidRDefault="006C64F6" w:rsidP="00945C24">
            <w:r>
              <w:t>Duration</w:t>
            </w:r>
          </w:p>
        </w:tc>
        <w:tc>
          <w:tcPr>
            <w:tcW w:w="1800" w:type="dxa"/>
          </w:tcPr>
          <w:p w:rsidR="006C64F6" w:rsidRDefault="007B24C9" w:rsidP="00945C24">
            <w:pPr>
              <w:jc w:val="right"/>
            </w:pPr>
            <w:r>
              <w:t>0.55</w:t>
            </w:r>
          </w:p>
        </w:tc>
      </w:tr>
    </w:tbl>
    <w:p w:rsidR="007B24C9" w:rsidRDefault="006C64F6" w:rsidP="006C64F6">
      <w:r>
        <w:t>The table shows that</w:t>
      </w:r>
      <w:r w:rsidR="007B24C9">
        <w:t xml:space="preserve"> Age and Duration are strongly important in the model of the Decision Tree. But with a relatively mediocre accuracy, I tested different depths, from 1 to 25, to check the accuracy between the test set and the training set. These values can be seen in the JupyterNotebook.</w:t>
      </w:r>
    </w:p>
    <w:p w:rsidR="007B24C9" w:rsidRDefault="007B24C9" w:rsidP="006C64F6">
      <w:r>
        <w:t>As Predicted, Training accuracy goes up, and testing accuracy goes down, which indicates our model is still overfit. Our training accuracy is much higher than our testing accuracy as the depth of the tree increases, meaning our model fits the training better than the test data.</w:t>
      </w:r>
    </w:p>
    <w:p w:rsidR="007B24C9" w:rsidRDefault="007B24C9" w:rsidP="007B24C9">
      <w:pPr>
        <w:pStyle w:val="Heading2"/>
      </w:pPr>
      <w:r>
        <w:lastRenderedPageBreak/>
        <w:t>Future Work</w:t>
      </w:r>
    </w:p>
    <w:p w:rsidR="007B24C9" w:rsidRDefault="007B24C9" w:rsidP="007B24C9">
      <w:r>
        <w:t>I believe other models would be better to fit the dataset I have used. I also should have attempted to use KNN. With both models being overfit, It allowed me to understand how datasets overfit and no more about the limitations of both the logistic regression and Decision tree.</w:t>
      </w:r>
    </w:p>
    <w:p w:rsidR="007B24C9" w:rsidRDefault="007B24C9" w:rsidP="007B24C9"/>
    <w:p w:rsidR="007B24C9" w:rsidRDefault="007B24C9">
      <w:pPr>
        <w:rPr>
          <w:rFonts w:asciiTheme="majorHAnsi" w:eastAsiaTheme="majorEastAsia" w:hAnsiTheme="majorHAnsi" w:cstheme="majorBidi"/>
          <w:color w:val="2F5496" w:themeColor="accent1" w:themeShade="BF"/>
          <w:sz w:val="26"/>
          <w:szCs w:val="26"/>
        </w:rPr>
      </w:pPr>
      <w:r>
        <w:br w:type="page"/>
      </w:r>
    </w:p>
    <w:p w:rsidR="007B24C9" w:rsidRDefault="007B24C9" w:rsidP="007B24C9">
      <w:pPr>
        <w:pStyle w:val="Heading2"/>
      </w:pPr>
      <w:r>
        <w:lastRenderedPageBreak/>
        <w:t>References</w:t>
      </w:r>
    </w:p>
    <w:p w:rsidR="007B24C9" w:rsidRDefault="007B24C9" w:rsidP="007B24C9">
      <w:pPr>
        <w:pStyle w:val="NormalWeb"/>
        <w:ind w:left="567" w:hanging="567"/>
      </w:pPr>
      <w:r>
        <w:t xml:space="preserve">[1] A. Joshi, “Virtual reality experiences,” Kaggle, https://www.kaggle.com/datasets/aakashjoshi123/virtual-reality-experiences/discussion/415346 (accessed 2023). </w:t>
      </w:r>
    </w:p>
    <w:p w:rsidR="007B24C9" w:rsidRPr="007B24C9" w:rsidRDefault="007B24C9" w:rsidP="007B24C9"/>
    <w:sectPr w:rsidR="007B24C9" w:rsidRPr="007B2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56D76"/>
    <w:multiLevelType w:val="hybridMultilevel"/>
    <w:tmpl w:val="2DD83054"/>
    <w:lvl w:ilvl="0" w:tplc="95F678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653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8E"/>
    <w:rsid w:val="002C363D"/>
    <w:rsid w:val="004932A3"/>
    <w:rsid w:val="006127E9"/>
    <w:rsid w:val="00652887"/>
    <w:rsid w:val="006C64F6"/>
    <w:rsid w:val="007B24C9"/>
    <w:rsid w:val="00845552"/>
    <w:rsid w:val="00986345"/>
    <w:rsid w:val="00A57B67"/>
    <w:rsid w:val="00BC7E8E"/>
    <w:rsid w:val="00C74BD7"/>
    <w:rsid w:val="00CF6A6F"/>
    <w:rsid w:val="00F3293D"/>
    <w:rsid w:val="00FB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D1D1"/>
  <w15:chartTrackingRefBased/>
  <w15:docId w15:val="{385A2B0D-A136-41BA-BAA5-D096753A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E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E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55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7E8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C7E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7E8E"/>
    <w:pPr>
      <w:ind w:left="720"/>
      <w:contextualSpacing/>
    </w:pPr>
  </w:style>
  <w:style w:type="character" w:styleId="Hyperlink">
    <w:name w:val="Hyperlink"/>
    <w:basedOn w:val="DefaultParagraphFont"/>
    <w:uiPriority w:val="99"/>
    <w:unhideWhenUsed/>
    <w:rsid w:val="00BC7E8E"/>
    <w:rPr>
      <w:color w:val="0563C1" w:themeColor="hyperlink"/>
      <w:u w:val="single"/>
    </w:rPr>
  </w:style>
  <w:style w:type="character" w:styleId="UnresolvedMention">
    <w:name w:val="Unresolved Mention"/>
    <w:basedOn w:val="DefaultParagraphFont"/>
    <w:uiPriority w:val="99"/>
    <w:semiHidden/>
    <w:unhideWhenUsed/>
    <w:rsid w:val="00BC7E8E"/>
    <w:rPr>
      <w:color w:val="605E5C"/>
      <w:shd w:val="clear" w:color="auto" w:fill="E1DFDD"/>
    </w:rPr>
  </w:style>
  <w:style w:type="table" w:styleId="TableGrid">
    <w:name w:val="Table Grid"/>
    <w:basedOn w:val="TableNormal"/>
    <w:uiPriority w:val="39"/>
    <w:rsid w:val="00493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555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B24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17475">
      <w:bodyDiv w:val="1"/>
      <w:marLeft w:val="0"/>
      <w:marRight w:val="0"/>
      <w:marTop w:val="0"/>
      <w:marBottom w:val="0"/>
      <w:divBdr>
        <w:top w:val="none" w:sz="0" w:space="0" w:color="auto"/>
        <w:left w:val="none" w:sz="0" w:space="0" w:color="auto"/>
        <w:bottom w:val="none" w:sz="0" w:space="0" w:color="auto"/>
        <w:right w:val="none" w:sz="0" w:space="0" w:color="auto"/>
      </w:divBdr>
    </w:div>
    <w:div w:id="1448621685">
      <w:bodyDiv w:val="1"/>
      <w:marLeft w:val="0"/>
      <w:marRight w:val="0"/>
      <w:marTop w:val="0"/>
      <w:marBottom w:val="0"/>
      <w:divBdr>
        <w:top w:val="none" w:sz="0" w:space="0" w:color="auto"/>
        <w:left w:val="none" w:sz="0" w:space="0" w:color="auto"/>
        <w:bottom w:val="none" w:sz="0" w:space="0" w:color="auto"/>
        <w:right w:val="none" w:sz="0" w:space="0" w:color="auto"/>
      </w:divBdr>
    </w:div>
    <w:div w:id="164739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akashjoshi123/virtual-reality-experiences" TargetMode="External"/><Relationship Id="rId5" Type="http://schemas.openxmlformats.org/officeDocument/2006/relationships/hyperlink" Target="file:///C:\Users\atkha\Desktop\kag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Khater</dc:creator>
  <cp:keywords/>
  <dc:description/>
  <cp:lastModifiedBy>Aly Khater</cp:lastModifiedBy>
  <cp:revision>3</cp:revision>
  <dcterms:created xsi:type="dcterms:W3CDTF">2023-06-20T05:41:00Z</dcterms:created>
  <dcterms:modified xsi:type="dcterms:W3CDTF">2023-06-20T05:44:00Z</dcterms:modified>
</cp:coreProperties>
</file>