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Option 3: cancer application (benchmark + REDIAL streams)</w:t>
      </w:r>
    </w:p>
    <w:p>
      <w:r>
        <w:drawing>
          <wp:inline xmlns:a="http://schemas.openxmlformats.org/drawingml/2006/main" xmlns:pic="http://schemas.openxmlformats.org/drawingml/2006/picture">
            <wp:extent cx="8686800" cy="4864608"/>
            <wp:docPr id="1" name="Picture 1"/>
            <wp:cNvGraphicFramePr>
              <a:graphicFrameLocks noChangeAspect="1"/>
            </wp:cNvGraphicFramePr>
            <a:graphic>
              <a:graphicData uri="http://schemas.openxmlformats.org/drawingml/2006/picture">
                <pic:pic>
                  <pic:nvPicPr>
                    <pic:cNvPr id="0" name="pipeline_schematic_cancer.png"/>
                    <pic:cNvPicPr/>
                  </pic:nvPicPr>
                  <pic:blipFill>
                    <a:blip r:embed="rId9"/>
                    <a:stretch>
                      <a:fillRect/>
                    </a:stretch>
                  </pic:blipFill>
                  <pic:spPr>
                    <a:xfrm>
                      <a:off x="0" y="0"/>
                      <a:ext cx="8686800" cy="4864608"/>
                    </a:xfrm>
                    <a:prstGeom prst="rect"/>
                  </pic:spPr>
                </pic:pic>
              </a:graphicData>
            </a:graphic>
          </wp:inline>
        </w:drawing>
      </w:r>
    </w:p>
    <w:p>
      <w:pPr>
        <w:spacing w:after="120"/>
      </w:pPr>
      <w:r>
        <w:rPr>
          <w:b w:val="0"/>
          <w:sz w:val="18"/>
        </w:rPr>
      </w:r>
      <w:r>
        <w:rPr>
          <w:b/>
          <w:sz w:val="18"/>
        </w:rPr>
        <w:t>Figure 1. A modular, ancestry-aware framework for germline genotype harmonization and GWAS, benchmarked on public and simulated data and applied to the REDIAL pediatric leukemia cohort.</w:t>
      </w:r>
      <w:r>
        <w:rPr>
          <w:b w:val="0"/>
          <w:sz w:val="18"/>
        </w:rPr>
        <w:t xml:space="preserve"> (A) Key differences between a typical GWAS workflow and this framework, for genotype harmonization and for association and downstream analysis. (B) Genotype harmonization, quality control and ancestry inference. Two data streams enter the same pipeline: a benchmarking stream of 1000 Genomes samples genotyped on multiple SNP arrays with matched whole-genome sequencing (WGS) truth plus simulated phenotypes, and the REDIAL (Reducing Ethnic Disparities in Acute Leukemias) cohort of children with acute lymphoblastic leukemia (ALL) from eight sites in Texas and California, genotyped on Illumina GSA v1/v2 arrays with overlapping germline WGS. Genotypes are lifted over, aligned and union-merged, imputed on the TOPMed, Michigan and All of Us servers, filtered with the ancestry-aware MagicalRsq-X metric, merged and passed through final QC, then assigned global (GRAF-anc) and local (RFMix) ancestry. The benchmarking stream, and the WGS-array overlap within REDIAL, allow imputation accuracy and simulated GWAS power to be quantified within each ancestry group before the pipeline is applied to cancer outcomes (insets illustrative). (C) Ancestry-aware GWAS and downstream analysis. Harmonized genotypes are stratified into GRAF-anc ancestry groups and analysed per ancestry and trait with REGENIE, SAIGE, GENESIS or Tractor, including time-to-event GWAS that incorporates local ancestry; results are combined by MR-MEGA-env meta-regression, fine-mapped within and across ancestries and traits (PolyFun + SuSiE, MG-FLASH-FM), and carried into ancestry-aware polygenic scores, heritability, colocalization and annotation. For REDIAL this yields ancestry-resolved germline associations with ALL risk and outcomes across a cohort in which genetic ancestry, self-reported race and ethnicity and clinical factors are known to interact (Kore et al., Cancer Epidemiol Biomarkers Prev 2026;35:710-717); the benchmarking stream yields accuracy and power estimates by ancestry. Every step is an independent, containerized Nextflow entry point; dashed outlines mark optional steps.</w:t>
      </w:r>
    </w:p>
    <w:p>
      <w:r>
        <w:br w:type="page"/>
      </w:r>
    </w:p>
    <w:p>
      <w:pPr>
        <w:pStyle w:val="Heading1"/>
      </w:pPr>
      <w:r>
        <w:t>Option 1: landscape</w:t>
      </w:r>
    </w:p>
    <w:p>
      <w:r>
        <w:drawing>
          <wp:inline xmlns:a="http://schemas.openxmlformats.org/drawingml/2006/main" xmlns:pic="http://schemas.openxmlformats.org/drawingml/2006/picture">
            <wp:extent cx="8686800" cy="4412894"/>
            <wp:docPr id="2" name="Picture 2"/>
            <wp:cNvGraphicFramePr>
              <a:graphicFrameLocks noChangeAspect="1"/>
            </wp:cNvGraphicFramePr>
            <a:graphic>
              <a:graphicData uri="http://schemas.openxmlformats.org/drawingml/2006/picture">
                <pic:pic>
                  <pic:nvPicPr>
                    <pic:cNvPr id="0" name="pipeline_schematic_lanes.png"/>
                    <pic:cNvPicPr/>
                  </pic:nvPicPr>
                  <pic:blipFill>
                    <a:blip r:embed="rId10"/>
                    <a:stretch>
                      <a:fillRect/>
                    </a:stretch>
                  </pic:blipFill>
                  <pic:spPr>
                    <a:xfrm>
                      <a:off x="0" y="0"/>
                      <a:ext cx="8686800" cy="4412894"/>
                    </a:xfrm>
                    <a:prstGeom prst="rect"/>
                  </pic:spPr>
                </pic:pic>
              </a:graphicData>
            </a:graphic>
          </wp:inline>
        </w:drawing>
      </w:r>
    </w:p>
    <w:p>
      <w:pPr>
        <w:spacing w:after="120"/>
      </w:pPr>
      <w:r>
        <w:rPr>
          <w:b w:val="0"/>
          <w:sz w:val="18"/>
        </w:rPr>
      </w:r>
      <w:r>
        <w:rPr>
          <w:b/>
          <w:sz w:val="18"/>
        </w:rPr>
        <w:t>Figure 1. A modular, ancestry-aware framework for genotype harmonization and GWAS.</w:t>
      </w:r>
      <w:r>
        <w:rPr>
          <w:b w:val="0"/>
          <w:sz w:val="18"/>
        </w:rPr>
      </w:r>
    </w:p>
    <w:p>
      <w:pPr>
        <w:spacing w:after="120"/>
      </w:pPr>
      <w:r>
        <w:rPr>
          <w:b w:val="0"/>
          <w:sz w:val="18"/>
        </w:rPr>
      </w:r>
      <w:r>
        <w:rPr>
          <w:b/>
          <w:sz w:val="18"/>
        </w:rPr>
        <w:t>(A)</w:t>
      </w:r>
      <w:r>
        <w:rPr>
          <w:b w:val="0"/>
          <w:sz w:val="18"/>
        </w:rPr>
        <w:t xml:space="preserve"> Key differences from a typical GWAS workflow, for genotype harmonization and for association and downstream analysis.</w:t>
      </w:r>
    </w:p>
    <w:p>
      <w:pPr>
        <w:spacing w:after="120"/>
      </w:pPr>
      <w:r>
        <w:rPr>
          <w:b w:val="0"/>
          <w:sz w:val="18"/>
        </w:rPr>
      </w:r>
      <w:r>
        <w:rPr>
          <w:b/>
          <w:sz w:val="18"/>
        </w:rPr>
        <w:t>(B)</w:t>
      </w:r>
      <w:r>
        <w:rPr>
          <w:b w:val="0"/>
          <w:sz w:val="18"/>
        </w:rPr>
        <w:t xml:space="preserve"> Genotype harmonization, QC and ancestry inference (Nextflow_Genotype_Pipeline). Genotypes from multiple arrays, batches and genome builds are lifted over, aligned and union-merged, imputed on the TOPMed, Michigan and All of Us servers through automated job handling, filtered with the ancestry-aware MagicalRsq-X metric instead of a fixed R² cut-off, merged and passed through final QC. Global ancestry (GRAF-anc) and local ancestry tracts (RFMix) are inferred, and an optional benchmarking module compares imputed genotypes with whole-genome sequencing truth and simulates GWAS power by ancestry (insets illustrative).</w:t>
      </w:r>
    </w:p>
    <w:p>
      <w:pPr>
        <w:spacing w:after="120"/>
      </w:pPr>
      <w:r>
        <w:rPr>
          <w:b w:val="0"/>
          <w:sz w:val="18"/>
        </w:rPr>
      </w:r>
      <w:r>
        <w:rPr>
          <w:b/>
          <w:sz w:val="18"/>
        </w:rPr>
        <w:t>(C)</w:t>
      </w:r>
      <w:r>
        <w:rPr>
          <w:b w:val="0"/>
          <w:sz w:val="18"/>
        </w:rPr>
        <w:t xml:space="preserve"> Ancestry-aware GWAS and downstream analyses (Nextflow_GWAS_pipeline). Harmonized genotypes are stratified into GRAF-anc ancestry groups, which resolve finer than continental labels and include Amerindigenous and admixed groups, and analysed in parallel per ancestry and trait with REGENIE, SAIGE, GENESIS or Tractor, including time-to-event GWAS that incorporates local ancestry. Group results are combined by MR-MEGA-env meta-regression, which models ancestry-related and cohort-specific heterogeneity, fine-mapped within ancestry (PolyFun + SuSiE) and across traits and ancestries (MG-FLASH-FM for related traits), and carried into ancestry-aware polygenic scores, heritability, colocalization and functional annotation. Every step is an independent Nextflow entry point, so the framework runs end to end or step by step; dashed outlines mark optional steps.</w:t>
      </w:r>
    </w:p>
    <w:p>
      <w:r>
        <w:br w:type="page"/>
      </w:r>
    </w:p>
    <w:p>
      <w:pPr>
        <w:pStyle w:val="Heading1"/>
      </w:pPr>
      <w:r>
        <w:t>Option 2: portrait</w:t>
      </w:r>
    </w:p>
    <w:p>
      <w:r>
        <w:drawing>
          <wp:inline xmlns:a="http://schemas.openxmlformats.org/drawingml/2006/main" xmlns:pic="http://schemas.openxmlformats.org/drawingml/2006/picture">
            <wp:extent cx="5852160" cy="6411332"/>
            <wp:docPr id="3" name="Picture 3"/>
            <wp:cNvGraphicFramePr>
              <a:graphicFrameLocks noChangeAspect="1"/>
            </wp:cNvGraphicFramePr>
            <a:graphic>
              <a:graphicData uri="http://schemas.openxmlformats.org/drawingml/2006/picture">
                <pic:pic>
                  <pic:nvPicPr>
                    <pic:cNvPr id="0" name="pipeline_schematic_stack.png"/>
                    <pic:cNvPicPr/>
                  </pic:nvPicPr>
                  <pic:blipFill>
                    <a:blip r:embed="rId11"/>
                    <a:stretch>
                      <a:fillRect/>
                    </a:stretch>
                  </pic:blipFill>
                  <pic:spPr>
                    <a:xfrm>
                      <a:off x="0" y="0"/>
                      <a:ext cx="5852160" cy="6411332"/>
                    </a:xfrm>
                    <a:prstGeom prst="rect"/>
                  </pic:spPr>
                </pic:pic>
              </a:graphicData>
            </a:graphic>
          </wp:inline>
        </w:drawing>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