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Option 3: cancer application (benchmark + REDIAL/COG streams)</w:t>
      </w:r>
    </w:p>
    <w:p>
      <w:r>
        <w:drawing>
          <wp:inline xmlns:a="http://schemas.openxmlformats.org/drawingml/2006/main" xmlns:pic="http://schemas.openxmlformats.org/drawingml/2006/picture">
            <wp:extent cx="8961120" cy="5585765"/>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8961120" cy="5585765"/>
                    </a:xfrm>
                    <a:prstGeom prst="rect"/>
                  </pic:spPr>
                </pic:pic>
              </a:graphicData>
            </a:graphic>
          </wp:inline>
        </w:drawing>
      </w:r>
    </w:p>
    <w:p>
      <w:pPr>
        <w:spacing w:after="120"/>
      </w:pPr>
      <w:r>
        <w:rPr>
          <w:b w:val="0"/>
          <w:sz w:val="18"/>
        </w:rPr>
      </w:r>
      <w:r>
        <w:rPr>
          <w:b/>
          <w:sz w:val="18"/>
        </w:rPr>
        <w:t>Figure 1. A modular, ancestry-aware framework for germline genotype harmonization and GWAS, benchmarked on public and simulated data and applied to outcome analysis in the REDIAL pediatric leukemia cohort.</w:t>
      </w:r>
      <w:r>
        <w:rPr>
          <w:b w:val="0"/>
          <w:sz w:val="18"/>
        </w:rPr>
        <w:t xml:space="preserve"> (A) Key differences between a typical GWAS workflow and this framework, for genotype harmonization and for association and downstream analysis. (B) Genotype harmonization, quality control and ancestry inference. Two data streams enter the same pipeline: a benchmarking stream of 1000 Genomes samples genotyped on multiple SNP arrays with matched whole-genome sequencing (WGS) truth plus simulated phenotypes, and a pediatric acute lymphoblastic leukemia (ALL) stream comprising the REDIAL (Reducing Ethnic Disparities in Acute Leukemias) cohort on Illumina GSA v1/v2 arrays together with Children's Oncology Group and St. Jude cohorts on Affymetrix 500K and SNP6 arrays, a subset of which also has germline WGS. The default workflow applies light pre-imputation quality control, two-step imputation against the TOPMed, All of Us or Michigan reference panels, ancestry-aware MagicalRsq-X filtering in place of a fixed R² cut-off, and extensive post-imputation quality control before platform merging, followed by global (GRAF-anc) and local (RFMix) ancestry inference. Because local ancestry accuracy depends strongly on how closely the reference haplotypes match the population under study, users can supply their own population-matched reference panels at the local-ancestry step; the imputation step is written to accommodate additional public panels as they become available, such as South Asian-specific resources. There is no standardized genotype harmonization workflow, and published studies differ in the timing and stringency of quality control, in whether platforms are merged before or after imputation, in fixed R² versus recalibrated filtering, and in one- versus two-step imputation. Six such published workflows are therefore run head-to-head across platforms and scored by concordance with WGS truth within each ancestry group, by reference panel, by the gain in sites retained relative to standard practice, and by simulated GWAS power under varying ancestry-specific effect sizes, allele frequencies and heritabilities. This identifies the best-performing workflow for each genotyping platform, quantifies its improvement and computational cost within each ancestry group, including admixed cohorts, and shows which ancestry groups remain limited by the available reference populations (insets illustrative). (C) Ancestry-aware GWAS and downstream analysis. Harmonized genotypes are stratified into GRAF-anc ancestry groups and analysed per ancestry and trait with REGENIE, SAIGE, GENESIS or Tractor; because ancestry is estimated within the same framework, time-to-event models can incorporate local ancestry, enabling clinically relevant outcome GWAS for overall survival, disease-free survival, relapse, minimal residual disease and treatment toxicity in diverse and admixed cohorts. Results are combined by MR-MEGA-env meta-regression, fine-mapped within and across ancestries and traits (PolyFun + SuSiE, MG-FLASH-FM), and carried into ancestry-aware polygenic scores, heritability, colocalization and annotation. Every step is an independent, containerized Nextflow entry point; dashed outlines mark optional steps. Together these components address a central obstacle to cancer genomic studies in diverse cohorts: array- and ancestry-dependent imputation loss that removes exactly the variants most informative in underrepresented populations, where risk alleles for minimal residual disease and relapse are often enriched. REDIAL provides an empirical, real-world test case linking the two halves of the framework: germline associations with minimal residual disease (IL15, GATA3) and relapse (PYGL, PDE4B) are already established and show marked differences in risk allele frequency across ancestry groups, so competing harmonization workflows can be judged by whether the resulting outcome GWAS recover these signals and improve the signal-to-noise ratio for novel, ancestry-resolved hits across genotyping platforms. This provides direct evidence for the value of ancestry-specific tools in admixed cohorts and an objective basis for extending the framework to other diverse cancer cohorts.</w:t>
      </w:r>
    </w:p>
    <w:p>
      <w:r>
        <w:br w:type="page"/>
      </w:r>
    </w:p>
    <w:p>
      <w:pPr>
        <w:pStyle w:val="Heading1"/>
      </w:pPr>
      <w:r>
        <w:t>Option 1: landscape (no cohort streams)</w:t>
      </w:r>
    </w:p>
    <w:p>
      <w:r>
        <w:drawing>
          <wp:inline xmlns:a="http://schemas.openxmlformats.org/drawingml/2006/main" xmlns:pic="http://schemas.openxmlformats.org/drawingml/2006/picture">
            <wp:extent cx="8961120" cy="5802978"/>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8961120" cy="5802978"/>
                    </a:xfrm>
                    <a:prstGeom prst="rect"/>
                  </pic:spPr>
                </pic:pic>
              </a:graphicData>
            </a:graphic>
          </wp:inline>
        </w:drawing>
      </w:r>
    </w:p>
    <w:p>
      <w:pPr>
        <w:spacing w:after="120"/>
      </w:pPr>
      <w:r>
        <w:rPr>
          <w:b w:val="0"/>
          <w:sz w:val="18"/>
        </w:rPr>
      </w:r>
      <w:r>
        <w:rPr>
          <w:b/>
          <w:sz w:val="18"/>
        </w:rPr>
        <w:t>Figure 1. A modular, ancestry-aware framework for genotype harmonization and GWAS.</w:t>
      </w:r>
      <w:r>
        <w:rPr>
          <w:b w:val="0"/>
          <w:sz w:val="18"/>
        </w:rPr>
      </w:r>
    </w:p>
    <w:p>
      <w:pPr>
        <w:spacing w:after="120"/>
      </w:pPr>
      <w:r>
        <w:rPr>
          <w:b w:val="0"/>
          <w:sz w:val="18"/>
        </w:rPr>
      </w:r>
      <w:r>
        <w:rPr>
          <w:b/>
          <w:sz w:val="18"/>
        </w:rPr>
        <w:t>(A)</w:t>
      </w:r>
      <w:r>
        <w:rPr>
          <w:b w:val="0"/>
          <w:sz w:val="18"/>
        </w:rPr>
        <w:t xml:space="preserve"> Key differences from a typical GWAS workflow, for genotype harmonization and for association and downstream analysis.</w:t>
      </w:r>
    </w:p>
    <w:p>
      <w:pPr>
        <w:spacing w:after="120"/>
      </w:pPr>
      <w:r>
        <w:rPr>
          <w:b w:val="0"/>
          <w:sz w:val="18"/>
        </w:rPr>
      </w:r>
      <w:r>
        <w:rPr>
          <w:b/>
          <w:sz w:val="18"/>
        </w:rPr>
        <w:t>(B)</w:t>
      </w:r>
      <w:r>
        <w:rPr>
          <w:b w:val="0"/>
          <w:sz w:val="18"/>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120"/>
      </w:pPr>
      <w:r>
        <w:rPr>
          <w:b w:val="0"/>
          <w:sz w:val="18"/>
        </w:rPr>
      </w:r>
      <w:r>
        <w:rPr>
          <w:b/>
          <w:sz w:val="18"/>
        </w:rPr>
        <w:t>(C)</w:t>
      </w:r>
      <w:r>
        <w:rPr>
          <w:b w:val="0"/>
          <w:sz w:val="18"/>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Option 2: portrait</w:t>
      </w:r>
    </w:p>
    <w:p>
      <w:r>
        <w:drawing>
          <wp:inline xmlns:a="http://schemas.openxmlformats.org/drawingml/2006/main" xmlns:pic="http://schemas.openxmlformats.org/drawingml/2006/picture">
            <wp:extent cx="5486400" cy="6707500"/>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486400" cy="6707500"/>
                    </a:xfrm>
                    <a:prstGeom prst="rect"/>
                  </pic:spPr>
                </pic:pic>
              </a:graphicData>
            </a:graphic>
          </wp:inline>
        </w:drawing>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