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58576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58576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TOPMed, All of Us, Michigan or a user-supplied reference panel, ancestry-aware MagicalRsq-X filtering in place of a fixed R² cut-off, and extensive post-imputation quality control before platform merging, followed by global (GRAF-anc) and local (RFMix) ancestry inference; because local ancestry accuracy depends strongly on how closely the reference panel matches the population under study, population-specific panels can be supplied at both the imputation and local-ancestry steps. Harmonization of genotyping arrays is not standardized, and published studies differ in the timing and stringency of quality control, in whether platforms are merged before or after imputation, in fixed R² versus recalibrated filtering, and in one- versus two-step imputation. Six such variants are therefore run head-to-head across platforms and scored by concordance with WGS truth within each ancestry group, by reference panel, by the gain in variants retained relative to standard practice, and by simulated GWAS power under varying ancestry-specific effect sizes, allele frequencies and heritabilities. This quantifies both the improvement and its computational cost for each ancestry group, and identifies which ancestries remain limited by available reference data (insets illustrative). (C) Ancestry-aware GWAS and downstream analysis. Harmonized genotypes are stratified into GRAF-anc ancestry groups and analysed per ancestry and trait with REGENIE, SAIGE, GENESIS or Tractor; because ancestry is estimated within the same framework, time-to-event models can incorporate local ancestry, enabling clinically relevant outcome GWAS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upstream harmonization choices can be judged by whether the resulting outcome GWAS recover these signals and improve the signal-to-noise ratio for novel, ancestry-resolved hits across genotyping platforms.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802978"/>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802978"/>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621989"/>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621989"/>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