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Option 3: cancer application (benchmark + REDIAL/COG streams)</w:t>
      </w:r>
    </w:p>
    <w:p>
      <w:r>
        <w:drawing>
          <wp:inline xmlns:a="http://schemas.openxmlformats.org/drawingml/2006/main" xmlns:pic="http://schemas.openxmlformats.org/drawingml/2006/picture">
            <wp:extent cx="8961120" cy="4953055"/>
            <wp:docPr id="1" name="Picture 1"/>
            <wp:cNvGraphicFramePr>
              <a:graphicFrameLocks noChangeAspect="1"/>
            </wp:cNvGraphicFramePr>
            <a:graphic>
              <a:graphicData uri="http://schemas.openxmlformats.org/drawingml/2006/picture">
                <pic:pic>
                  <pic:nvPicPr>
                    <pic:cNvPr id="0" name="pipeline_schematic_cancer.png"/>
                    <pic:cNvPicPr/>
                  </pic:nvPicPr>
                  <pic:blipFill>
                    <a:blip r:embed="rId9"/>
                    <a:stretch>
                      <a:fillRect/>
                    </a:stretch>
                  </pic:blipFill>
                  <pic:spPr>
                    <a:xfrm>
                      <a:off x="0" y="0"/>
                      <a:ext cx="8961120" cy="4953055"/>
                    </a:xfrm>
                    <a:prstGeom prst="rect"/>
                  </pic:spPr>
                </pic:pic>
              </a:graphicData>
            </a:graphic>
          </wp:inline>
        </w:drawing>
      </w:r>
    </w:p>
    <w:p>
      <w:pPr>
        <w:spacing w:after="120"/>
      </w:pPr>
      <w:r>
        <w:rPr>
          <w:b w:val="0"/>
          <w:sz w:val="18"/>
        </w:rPr>
      </w:r>
      <w:r>
        <w:rPr>
          <w:b/>
          <w:sz w:val="18"/>
        </w:rPr>
        <w:t>Figure 1. A modular, ancestry-aware framework for germline genotype harmonization and GWAS, benchmarked on public and simulated data and applied to the REDIAL pediatric leukemia cohort.</w:t>
      </w:r>
      <w:r>
        <w:rPr>
          <w:b w:val="0"/>
          <w:sz w:val="18"/>
        </w:rPr>
        <w:t xml:space="preserve"> (A) Key differences between a typical GWAS workflow and this framework, for genotype harmonization and for association and downstream analysis. (B) Genotype harmonization, quality control and ancestry inference. Two data streams enter the same pipeline: a benchmarking stream of 1000 Genomes samples genotyped on multiple SNP arrays with matched whole-genome sequencing (WGS) truth plus simulated phenotypes, and a pediatric acute lymphoblastic leukemia (ALL) stream comprising the REDIAL (Reducing Ethnic Disparities in Acute Leukemias) cohort on Illumina GSA v1/v2 arrays together with Children's Oncology Group and St. Jude cohorts on Affymetrix 500K and SNP6 arrays, a subset of which also has germline WGS. Genotypes are lifted over, aligned and union-merged, imputed on the TOPMed, Michigan and All of Us servers, filtered with the ancestry-aware MagicalRsq-X metric, merged and passed through final QC, then assigned global (GRAF-anc) and local (RFMix) ancestry. Six alternative preprocessing workflows are run across these platforms and scored against WGS truth, simulated phenotypes and recovery of established ALL loci, so that the best workflow can be selected per platform rather than assumed (insets illustrative). (C) Ancestry-aware GWAS and downstream analysis. Harmonized genotypes are stratified into GRAF-anc ancestry groups and analysed per ancestry and trait with REGENIE, SAIGE, GENESIS or Tractor, including time-to-event GWAS that incorporates local ancestry; results are combined by MR-MEGA-env meta-regression, fine-mapped within and across ancestries and traits (PolyFun + SuSiE, MG-FLASH-FM), and carried into ancestry-aware polygenic scores, heritability, colocalization and annotation. Every step is an independent, containerized Nextflow entry point; dashed outlines mark optional steps. Together these components address a central obstacle to cancer genomic studies in diverse cohorts: array- and ancestry-dependent imputation loss that removes exactly the variants most informative in underrepresented populations, where risk alleles for minimal residual disease and relapse are often enriched. REDIAL provides an empirical, real-world test case: because established germline associations with minimal residual disease (IL15, GATA3) and relapse (PYGL, PDE4B) are already known, each workflow can be judged on whether it recovers these signals and improves the signal-to-noise ratio for novel hits across genotyping platforms and ancestry groups, giving an objective basis for extending the framework to other diverse cancer cohorts.</w:t>
      </w:r>
    </w:p>
    <w:p>
      <w:r>
        <w:br w:type="page"/>
      </w:r>
    </w:p>
    <w:p>
      <w:pPr>
        <w:pStyle w:val="Heading1"/>
      </w:pPr>
      <w:r>
        <w:t>Option 1: landscape (no cohort streams)</w:t>
      </w:r>
    </w:p>
    <w:p>
      <w:r>
        <w:drawing>
          <wp:inline xmlns:a="http://schemas.openxmlformats.org/drawingml/2006/main" xmlns:pic="http://schemas.openxmlformats.org/drawingml/2006/picture">
            <wp:extent cx="8961120" cy="4659782"/>
            <wp:docPr id="2" name="Picture 2"/>
            <wp:cNvGraphicFramePr>
              <a:graphicFrameLocks noChangeAspect="1"/>
            </wp:cNvGraphicFramePr>
            <a:graphic>
              <a:graphicData uri="http://schemas.openxmlformats.org/drawingml/2006/picture">
                <pic:pic>
                  <pic:nvPicPr>
                    <pic:cNvPr id="0" name="pipeline_schematic_lanes.png"/>
                    <pic:cNvPicPr/>
                  </pic:nvPicPr>
                  <pic:blipFill>
                    <a:blip r:embed="rId10"/>
                    <a:stretch>
                      <a:fillRect/>
                    </a:stretch>
                  </pic:blipFill>
                  <pic:spPr>
                    <a:xfrm>
                      <a:off x="0" y="0"/>
                      <a:ext cx="8961120" cy="4659782"/>
                    </a:xfrm>
                    <a:prstGeom prst="rect"/>
                  </pic:spPr>
                </pic:pic>
              </a:graphicData>
            </a:graphic>
          </wp:inline>
        </w:drawing>
      </w:r>
    </w:p>
    <w:p>
      <w:pPr>
        <w:spacing w:after="120"/>
      </w:pPr>
      <w:r>
        <w:rPr>
          <w:b w:val="0"/>
          <w:sz w:val="18"/>
        </w:rPr>
      </w:r>
      <w:r>
        <w:rPr>
          <w:b/>
          <w:sz w:val="18"/>
        </w:rPr>
        <w:t>Figure 1. A modular, ancestry-aware framework for genotype harmonization and GWAS.</w:t>
      </w:r>
      <w:r>
        <w:rPr>
          <w:b w:val="0"/>
          <w:sz w:val="18"/>
        </w:rPr>
      </w:r>
    </w:p>
    <w:p>
      <w:pPr>
        <w:spacing w:after="120"/>
      </w:pPr>
      <w:r>
        <w:rPr>
          <w:b w:val="0"/>
          <w:sz w:val="18"/>
        </w:rPr>
      </w:r>
      <w:r>
        <w:rPr>
          <w:b/>
          <w:sz w:val="18"/>
        </w:rPr>
        <w:t>(A)</w:t>
      </w:r>
      <w:r>
        <w:rPr>
          <w:b w:val="0"/>
          <w:sz w:val="18"/>
        </w:rPr>
        <w:t xml:space="preserve"> Key differences from a typical GWAS workflow, for genotype harmonization and for association and downstream analysis.</w:t>
      </w:r>
    </w:p>
    <w:p>
      <w:pPr>
        <w:spacing w:after="120"/>
      </w:pPr>
      <w:r>
        <w:rPr>
          <w:b w:val="0"/>
          <w:sz w:val="18"/>
        </w:rPr>
      </w:r>
      <w:r>
        <w:rPr>
          <w:b/>
          <w:sz w:val="18"/>
        </w:rPr>
        <w:t>(B)</w:t>
      </w:r>
      <w:r>
        <w:rPr>
          <w:b w:val="0"/>
          <w:sz w:val="18"/>
        </w:rPr>
        <w:t xml:space="preserve"> Genotype harmonization, QC and ancestry inference (Nextflow_Genotype_Pipeline). Genotypes from multiple arrays, batches and genome builds are lifted over, aligned and union-merged, imputed on the TOPMed, Michigan and All of Us servers through automated job handling, filtered with the ancestry-aware MagicalRsq-X metric instead of a fixed R² cut-off, merged and passed through final QC. Global ancestry (GRAF-anc) and local ancestry tracts (RFMix) are inferred, and an optional benchmarking module compares imputed genotypes with whole-genome sequencing truth and simulates GWAS power by ancestry (insets illustrative).</w:t>
      </w:r>
    </w:p>
    <w:p>
      <w:pPr>
        <w:spacing w:after="120"/>
      </w:pPr>
      <w:r>
        <w:rPr>
          <w:b w:val="0"/>
          <w:sz w:val="18"/>
        </w:rPr>
      </w:r>
      <w:r>
        <w:rPr>
          <w:b/>
          <w:sz w:val="18"/>
        </w:rPr>
        <w:t>(C)</w:t>
      </w:r>
      <w:r>
        <w:rPr>
          <w:b w:val="0"/>
          <w:sz w:val="18"/>
        </w:rPr>
        <w:t xml:space="preserve"> Ancestry-aware GWAS and downstream analyses (Nextflow_GWAS_pipeline). Harmonized genotypes are stratified into GRAF-anc ancestry groups, which resolve finer than continental labels and include Amerindigenous and admixed groups, and analysed in parallel per ancestry and trait with REGENIE, SAIGE, GENESIS or Tractor, including time-to-event GWAS that incorporates local ancestry. Group results are combined by MR-MEGA-env meta-regression, which models ancestry-related and cohort-specific heterogeneity, fine-mapped within ancestry (PolyFun + SuSiE) and across traits and ancestries (MG-FLASH-FM for related traits), and carried into ancestry-aware polygenic scores, heritability, colocalization and functional annotation. Every step is an independent Nextflow entry point, so the framework runs end to end or step by step; dashed outlines mark optional steps.</w:t>
      </w:r>
    </w:p>
    <w:p>
      <w:r>
        <w:br w:type="page"/>
      </w:r>
    </w:p>
    <w:p>
      <w:pPr>
        <w:pStyle w:val="Heading1"/>
      </w:pPr>
      <w:r>
        <w:t>Option 2: portrait</w:t>
      </w:r>
    </w:p>
    <w:p>
      <w:r>
        <w:drawing>
          <wp:inline xmlns:a="http://schemas.openxmlformats.org/drawingml/2006/main" xmlns:pic="http://schemas.openxmlformats.org/drawingml/2006/picture">
            <wp:extent cx="5669280" cy="6619107"/>
            <wp:docPr id="3" name="Picture 3"/>
            <wp:cNvGraphicFramePr>
              <a:graphicFrameLocks noChangeAspect="1"/>
            </wp:cNvGraphicFramePr>
            <a:graphic>
              <a:graphicData uri="http://schemas.openxmlformats.org/drawingml/2006/picture">
                <pic:pic>
                  <pic:nvPicPr>
                    <pic:cNvPr id="0" name="pipeline_schematic_stack.png"/>
                    <pic:cNvPicPr/>
                  </pic:nvPicPr>
                  <pic:blipFill>
                    <a:blip r:embed="rId11"/>
                    <a:stretch>
                      <a:fillRect/>
                    </a:stretch>
                  </pic:blipFill>
                  <pic:spPr>
                    <a:xfrm>
                      <a:off x="0" y="0"/>
                      <a:ext cx="5669280" cy="6619107"/>
                    </a:xfrm>
                    <a:prstGeom prst="rect"/>
                  </pic:spPr>
                </pic:pic>
              </a:graphicData>
            </a:graphic>
          </wp:inline>
        </w:drawing>
      </w:r>
    </w:p>
    <w:sectPr w:rsidR="00FC693F" w:rsidRPr="0006063C" w:rsidSect="00034616">
      <w:pgSz w:w="15840" w:h="12240" w:orient="landscape"/>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