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585765"/>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585765"/>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The default workflow applies light pre-imputation quality control, two-step imputation against the TOPMed, All of Us or Michigan reference panels, ancestry-aware MagicalRsq-X filtering in place of a fixed R² cut-off, and extensive post-imputation quality control before platform merging, followed by global (GRAF-anc) and local (RFMix) ancestry inference. Because local ancestry accuracy depends strongly on how closely the reference haplotypes match the population under study, users can supply their own population-matched reference panels at the local-ancestry step; the imputation step is written to accommodate additional public panels as they become available, such as South Asian-specific resources. There is no standardized genotype harmonization workflow, and published studies differ in the timing and stringency of quality control, in whether platforms are merged before or after imputation, in fixed R² versus recalibrated filtering, and in one- versus two-step imputation. Six such published workflows are therefore run head-to-head across platforms and scored by concordance with WGS truth within each ancestry group, by reference panel, by the gain in sites retained relative to standard practice, and by simulated GWAS power under varying ancestry-specific effect sizes, allele frequencies and heritabilities. This identifies the best-performing workflow for each genotyping platform, quantifies its improvement and computational cost within each ancestry group, including admixed cohorts, and shows which ancestry groups remain limited by the available reference populations (insets illustrative). (C) Ancestry-aware GWAS and downstream analysis. Harmonized genotypes are stratified into GRAF-anc ancestry groups and analysed per ancestry and trait with REGENIE, SAIGE, GENESIS or Tractor; because ancestry is estimated within the same framework, time-to-event GWAS can model local ancestry effects directly, enabling clinically relevant outcome analyses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competing harmonization workflows can be judged by whether the resulting B-ALL outcome GWAS recover these signals. Panel C therefore closes with the REDIAL case example: for each outcome, the net gain in known and in novel loci detected is compared across harmonization workflows and ancestry groups, converting an upstream methodological choice into a measurable difference in discovery.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802978"/>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802978"/>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70750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707500"/>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