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8961120" cy="5376672"/>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961120" cy="5376672"/>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outcome analysis in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Genotypes are lifted over, aligned and union-merged, imputed against TOPMed, All of Us, Michigan or a user-supplied reference panel in one or two steps, filtered with the ancestry-aware MagicalRsq-X metric, merged and passed through final QC, then assigned global (GRAF-anc) and local (RFMix) ancestry; because local ancestry accuracy depends strongly on how closely the reference panel matches the population under study, population-specific panels can be supplied at both the imputation and local-ancestry steps. Six workflow variants are run in parallel across platforms, differing in the timing and stringency of QC and of platform merging relative to imputation, in fixed R² versus MagicalRsq-X filtering, and in one- versus two-step imputation: merging before imputation can imprint array-specific artifacts and yield sparse, platform-driven signal, whereas two-step imputation retains rarer and more ancestry-specific variants. Variants are scored by concordance with WGS truth within each ancestry group, by reference panel, and by simulated GWAS power under varying ancestry-specific effect sizes, allele frequencies and heritabilities, yielding the best workflow and reference panel for each genotyping platform and identifying which ancestry groups remain limited by available reference data (insets illustrative). (C) Ancestry-aware GWAS and downstream analysis. Harmonized genotypes are stratified into GRAF-anc ancestry groups and analysed per ancestry and trait with REGENIE, SAIGE, GENESIS or Tractor; because ancestry is estimated within the same framework, time-to-event models can incorporate local ancestry, enabling clinically relevant outcome GWAS for overall survival, disease-free survival, relapse, minimal residual disease and treatment toxicity in diverse and admixed cohorts.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linking the two halves of the framework: germline associations with minimal residual disease (IL15, GATA3) and relapse (PYGL, PDE4B) are already established and show marked differences in risk allele frequency across ancestry groups, so upstream workflow choices can be judged by whether the resulting outcome GWAS recover these signals and improve the signal-to-noise ratio for novel, ancestry-resolved hits across genotyping platforms. This provides direct evidence for the value of ancestry-specific tools in admixed cohorts and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8961120" cy="5559374"/>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961120" cy="5559374"/>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486400" cy="639966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486400" cy="6399660"/>
                    </a:xfrm>
                    <a:prstGeom prst="rect"/>
                  </pic:spPr>
                </pic:pic>
              </a:graphicData>
            </a:graphic>
          </wp:inline>
        </w:drawing>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