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BC828" w14:textId="7C88F107" w:rsidR="001F35E6" w:rsidRPr="00BD5597" w:rsidRDefault="00B467BE">
      <w:pPr>
        <w:rPr>
          <w:rFonts w:ascii="Times New Roman" w:hAnsi="Times New Roman" w:cs="Times New Roman"/>
          <w:sz w:val="24"/>
          <w:szCs w:val="24"/>
        </w:rPr>
      </w:pPr>
      <w:r w:rsidRPr="00BD5597">
        <w:rPr>
          <w:rFonts w:ascii="Times New Roman" w:hAnsi="Times New Roman" w:cs="Times New Roman"/>
          <w:sz w:val="24"/>
          <w:szCs w:val="24"/>
        </w:rPr>
        <w:t>Ryan Atkinson</w:t>
      </w:r>
    </w:p>
    <w:p w14:paraId="2C938FB5" w14:textId="69F88F27" w:rsidR="007A7456" w:rsidRPr="00BD5597" w:rsidRDefault="007A7456">
      <w:pPr>
        <w:rPr>
          <w:rFonts w:ascii="Times New Roman" w:hAnsi="Times New Roman" w:cs="Times New Roman"/>
          <w:sz w:val="24"/>
          <w:szCs w:val="24"/>
        </w:rPr>
      </w:pPr>
      <w:r w:rsidRPr="00BD5597">
        <w:rPr>
          <w:rFonts w:ascii="Times New Roman" w:hAnsi="Times New Roman" w:cs="Times New Roman"/>
          <w:sz w:val="24"/>
          <w:szCs w:val="24"/>
        </w:rPr>
        <w:t>UCID: 12244902</w:t>
      </w:r>
    </w:p>
    <w:p w14:paraId="73418213" w14:textId="5C6445E5" w:rsidR="00B467BE" w:rsidRPr="00BD5597" w:rsidRDefault="00B467BE">
      <w:pPr>
        <w:rPr>
          <w:rFonts w:ascii="Times New Roman" w:hAnsi="Times New Roman" w:cs="Times New Roman"/>
          <w:sz w:val="24"/>
          <w:szCs w:val="24"/>
        </w:rPr>
      </w:pPr>
      <w:r w:rsidRPr="00BD5597">
        <w:rPr>
          <w:rFonts w:ascii="Times New Roman" w:hAnsi="Times New Roman" w:cs="Times New Roman"/>
          <w:sz w:val="24"/>
          <w:szCs w:val="24"/>
        </w:rPr>
        <w:t>PPHA 32530</w:t>
      </w:r>
    </w:p>
    <w:p w14:paraId="41BFF78F" w14:textId="47707DD1" w:rsidR="007A7456" w:rsidRPr="00BD5597" w:rsidRDefault="00B467BE">
      <w:pPr>
        <w:rPr>
          <w:rFonts w:ascii="Times New Roman" w:hAnsi="Times New Roman" w:cs="Times New Roman"/>
          <w:sz w:val="24"/>
          <w:szCs w:val="24"/>
        </w:rPr>
      </w:pPr>
      <w:r w:rsidRPr="00BD5597">
        <w:rPr>
          <w:rFonts w:ascii="Times New Roman" w:hAnsi="Times New Roman" w:cs="Times New Roman"/>
          <w:sz w:val="24"/>
          <w:szCs w:val="24"/>
        </w:rPr>
        <w:t>2/10/2021</w:t>
      </w:r>
    </w:p>
    <w:p w14:paraId="1E6AE9CE" w14:textId="0739DAD1" w:rsidR="00B467BE" w:rsidRPr="00E4206E" w:rsidRDefault="00B467BE" w:rsidP="00E4206E">
      <w:pPr>
        <w:jc w:val="center"/>
        <w:rPr>
          <w:rFonts w:ascii="Times New Roman" w:hAnsi="Times New Roman" w:cs="Times New Roman"/>
          <w:sz w:val="24"/>
          <w:szCs w:val="24"/>
          <w:u w:val="single"/>
        </w:rPr>
      </w:pPr>
      <w:r w:rsidRPr="00BD5597">
        <w:rPr>
          <w:rFonts w:ascii="Times New Roman" w:hAnsi="Times New Roman" w:cs="Times New Roman"/>
          <w:sz w:val="24"/>
          <w:szCs w:val="24"/>
          <w:u w:val="single"/>
        </w:rPr>
        <w:t>Credit Analysis</w:t>
      </w:r>
      <w:r w:rsidR="00295F0B">
        <w:rPr>
          <w:rFonts w:ascii="Times New Roman" w:hAnsi="Times New Roman" w:cs="Times New Roman"/>
          <w:sz w:val="24"/>
          <w:szCs w:val="24"/>
          <w:u w:val="single"/>
        </w:rPr>
        <w:t xml:space="preserve"> of General Obligation Refunding Bonds, Series 2019A</w:t>
      </w:r>
    </w:p>
    <w:p w14:paraId="66436B25" w14:textId="3BCE52A8" w:rsidR="00DD7268" w:rsidRDefault="00DD7268" w:rsidP="00B467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Sherburn,</w:t>
      </w:r>
    </w:p>
    <w:p w14:paraId="3B5BC144" w14:textId="686A197D" w:rsidR="00DD7268" w:rsidRDefault="007B7823" w:rsidP="00B467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credit rating agency utilizes several metrics to weight and measure the rating of municipal bonds. In Appendix A, listed below, you will be able to reference and understand how we came to our final bond rating. Similarly, Appendix A consists of comparisons between your bond issue and the bond issues of both Byron and Goodview. In our analysis, we consider four primary components of varying weights of importance, including: a city’s economic base, its financial health, its debt levels, and the management policies and practices.</w:t>
      </w:r>
      <w:r w:rsidR="000031DD">
        <w:rPr>
          <w:rFonts w:ascii="Times New Roman" w:eastAsia="Times New Roman" w:hAnsi="Times New Roman" w:cs="Times New Roman"/>
          <w:sz w:val="24"/>
          <w:szCs w:val="24"/>
        </w:rPr>
        <w:t xml:space="preserve"> </w:t>
      </w:r>
      <w:r w:rsidR="00A273ED">
        <w:rPr>
          <w:rFonts w:ascii="Times New Roman" w:eastAsia="Times New Roman" w:hAnsi="Times New Roman" w:cs="Times New Roman"/>
          <w:sz w:val="24"/>
          <w:szCs w:val="24"/>
        </w:rPr>
        <w:t xml:space="preserve">Each component also has subcomponents, which are similarly listed in Appendix A (with values taken from city’s respective bond issue and page numbers referenced according to its place in their issue’s pdf). </w:t>
      </w:r>
      <w:proofErr w:type="gramStart"/>
      <w:r w:rsidR="000031DD">
        <w:rPr>
          <w:rFonts w:ascii="Times New Roman" w:eastAsia="Times New Roman" w:hAnsi="Times New Roman" w:cs="Times New Roman"/>
          <w:sz w:val="24"/>
          <w:szCs w:val="24"/>
        </w:rPr>
        <w:t>In regards to</w:t>
      </w:r>
      <w:proofErr w:type="gramEnd"/>
      <w:r w:rsidR="000031DD">
        <w:rPr>
          <w:rFonts w:ascii="Times New Roman" w:eastAsia="Times New Roman" w:hAnsi="Times New Roman" w:cs="Times New Roman"/>
          <w:sz w:val="24"/>
          <w:szCs w:val="24"/>
        </w:rPr>
        <w:t xml:space="preserve"> the components</w:t>
      </w:r>
      <w:r w:rsidR="00A273ED">
        <w:rPr>
          <w:rFonts w:ascii="Times New Roman" w:eastAsia="Times New Roman" w:hAnsi="Times New Roman" w:cs="Times New Roman"/>
          <w:sz w:val="24"/>
          <w:szCs w:val="24"/>
        </w:rPr>
        <w:t xml:space="preserve"> listed above</w:t>
      </w:r>
      <w:r w:rsidR="000031DD">
        <w:rPr>
          <w:rFonts w:ascii="Times New Roman" w:eastAsia="Times New Roman" w:hAnsi="Times New Roman" w:cs="Times New Roman"/>
          <w:sz w:val="24"/>
          <w:szCs w:val="24"/>
        </w:rPr>
        <w:t xml:space="preserve">, each will be ranked on a 1 to 5 scale, </w:t>
      </w:r>
      <w:r w:rsidR="00A273ED">
        <w:rPr>
          <w:rFonts w:ascii="Times New Roman" w:eastAsia="Times New Roman" w:hAnsi="Times New Roman" w:cs="Times New Roman"/>
          <w:sz w:val="24"/>
          <w:szCs w:val="24"/>
        </w:rPr>
        <w:t>with</w:t>
      </w:r>
      <w:r w:rsidR="000031DD">
        <w:rPr>
          <w:rFonts w:ascii="Times New Roman" w:eastAsia="Times New Roman" w:hAnsi="Times New Roman" w:cs="Times New Roman"/>
          <w:sz w:val="24"/>
          <w:szCs w:val="24"/>
        </w:rPr>
        <w:t xml:space="preserve"> 1 </w:t>
      </w:r>
      <w:r w:rsidR="00A273ED">
        <w:rPr>
          <w:rFonts w:ascii="Times New Roman" w:eastAsia="Times New Roman" w:hAnsi="Times New Roman" w:cs="Times New Roman"/>
          <w:sz w:val="24"/>
          <w:szCs w:val="24"/>
        </w:rPr>
        <w:t>being</w:t>
      </w:r>
      <w:r w:rsidR="000031DD">
        <w:rPr>
          <w:rFonts w:ascii="Times New Roman" w:eastAsia="Times New Roman" w:hAnsi="Times New Roman" w:cs="Times New Roman"/>
          <w:sz w:val="24"/>
          <w:szCs w:val="24"/>
        </w:rPr>
        <w:t xml:space="preserve"> “poor” and 5 </w:t>
      </w:r>
      <w:r w:rsidR="00A273ED">
        <w:rPr>
          <w:rFonts w:ascii="Times New Roman" w:eastAsia="Times New Roman" w:hAnsi="Times New Roman" w:cs="Times New Roman"/>
          <w:sz w:val="24"/>
          <w:szCs w:val="24"/>
        </w:rPr>
        <w:t>being</w:t>
      </w:r>
      <w:r w:rsidR="000031DD">
        <w:rPr>
          <w:rFonts w:ascii="Times New Roman" w:eastAsia="Times New Roman" w:hAnsi="Times New Roman" w:cs="Times New Roman"/>
          <w:sz w:val="24"/>
          <w:szCs w:val="24"/>
        </w:rPr>
        <w:t xml:space="preserve"> “excellent.”</w:t>
      </w:r>
    </w:p>
    <w:p w14:paraId="0AB17FEB" w14:textId="1BAD4702" w:rsidR="007B7823" w:rsidRDefault="007B7823" w:rsidP="00B467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the economic base of the city, we are considered with the trends underlying this component. As noted in Appendix A, St. Charles has the least diverse economic composition, with few major employers and limited property tax to levy. Of the two comparable cities, St. Charles is closest to Goodview in population estimates and growth. For instance, St. Charles had growth of 11.13% between 2000 and 2010, while Goodview had 19.65% and Byron had 40.4%, respectively. Unfortunately, assessed property value estimates for St. Charles lags </w:t>
      </w:r>
      <w:r w:rsidR="00587439">
        <w:rPr>
          <w:rFonts w:ascii="Times New Roman" w:eastAsia="Times New Roman" w:hAnsi="Times New Roman" w:cs="Times New Roman"/>
          <w:sz w:val="24"/>
          <w:szCs w:val="24"/>
        </w:rPr>
        <w:t>tens of millions of</w:t>
      </w:r>
      <w:r>
        <w:rPr>
          <w:rFonts w:ascii="Times New Roman" w:eastAsia="Times New Roman" w:hAnsi="Times New Roman" w:cs="Times New Roman"/>
          <w:sz w:val="24"/>
          <w:szCs w:val="24"/>
        </w:rPr>
        <w:t xml:space="preserve"> dollars behind both Byron and Goodview at $206MM, relative to Byron’s $582MM and Goodview’s $301MM. Similarly, </w:t>
      </w:r>
      <w:r w:rsidR="000031DD">
        <w:rPr>
          <w:rFonts w:ascii="Times New Roman" w:eastAsia="Times New Roman" w:hAnsi="Times New Roman" w:cs="Times New Roman"/>
          <w:sz w:val="24"/>
          <w:szCs w:val="24"/>
        </w:rPr>
        <w:t xml:space="preserve">current population is estimated at a loss for St. Charles relative to 2010, whereas estimations are that Byron is still gaining residents, while Goodview maintains its population. </w:t>
      </w:r>
      <w:r w:rsidR="00E4206E">
        <w:rPr>
          <w:rFonts w:ascii="Times New Roman" w:eastAsia="Times New Roman" w:hAnsi="Times New Roman" w:cs="Times New Roman"/>
          <w:sz w:val="24"/>
          <w:szCs w:val="24"/>
        </w:rPr>
        <w:t xml:space="preserve">Lastly, the diversity of industry and employers </w:t>
      </w:r>
      <w:r w:rsidR="00587439">
        <w:rPr>
          <w:rFonts w:ascii="Times New Roman" w:eastAsia="Times New Roman" w:hAnsi="Times New Roman" w:cs="Times New Roman"/>
          <w:sz w:val="24"/>
          <w:szCs w:val="24"/>
        </w:rPr>
        <w:t xml:space="preserve">for St. Charles </w:t>
      </w:r>
      <w:r w:rsidR="00E4206E">
        <w:rPr>
          <w:rFonts w:ascii="Times New Roman" w:eastAsia="Times New Roman" w:hAnsi="Times New Roman" w:cs="Times New Roman"/>
          <w:sz w:val="24"/>
          <w:szCs w:val="24"/>
        </w:rPr>
        <w:t xml:space="preserve">lags behind both Byron and </w:t>
      </w:r>
      <w:proofErr w:type="gramStart"/>
      <w:r w:rsidR="00E4206E">
        <w:rPr>
          <w:rFonts w:ascii="Times New Roman" w:eastAsia="Times New Roman" w:hAnsi="Times New Roman" w:cs="Times New Roman"/>
          <w:sz w:val="24"/>
          <w:szCs w:val="24"/>
        </w:rPr>
        <w:t>Goodview, and</w:t>
      </w:r>
      <w:proofErr w:type="gramEnd"/>
      <w:r w:rsidR="00E4206E">
        <w:rPr>
          <w:rFonts w:ascii="Times New Roman" w:eastAsia="Times New Roman" w:hAnsi="Times New Roman" w:cs="Times New Roman"/>
          <w:sz w:val="24"/>
          <w:szCs w:val="24"/>
        </w:rPr>
        <w:t xml:space="preserve"> is </w:t>
      </w:r>
      <w:r w:rsidR="00587439">
        <w:rPr>
          <w:rFonts w:ascii="Times New Roman" w:eastAsia="Times New Roman" w:hAnsi="Times New Roman" w:cs="Times New Roman"/>
          <w:sz w:val="24"/>
          <w:szCs w:val="24"/>
        </w:rPr>
        <w:t xml:space="preserve">particularly </w:t>
      </w:r>
      <w:r w:rsidR="00E4206E">
        <w:rPr>
          <w:rFonts w:ascii="Times New Roman" w:eastAsia="Times New Roman" w:hAnsi="Times New Roman" w:cs="Times New Roman"/>
          <w:sz w:val="24"/>
          <w:szCs w:val="24"/>
        </w:rPr>
        <w:t xml:space="preserve">vulnerable to economic downturns. </w:t>
      </w:r>
      <w:r w:rsidR="000031DD">
        <w:rPr>
          <w:rFonts w:ascii="Times New Roman" w:eastAsia="Times New Roman" w:hAnsi="Times New Roman" w:cs="Times New Roman"/>
          <w:sz w:val="24"/>
          <w:szCs w:val="24"/>
        </w:rPr>
        <w:t>The overall rating given to this component is a 2.</w:t>
      </w:r>
    </w:p>
    <w:p w14:paraId="332E44EA" w14:textId="4171CE11" w:rsidR="007B7823" w:rsidRDefault="000031DD" w:rsidP="00B467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financial health component, there are several concerns for St. Charles position and its position to both Byron and Goodview. As shown in Appendix A, the net and annual pension obligations outpace both Byron and Goodview in terms of both net ($1,185,859MM) and annual ($105,439) liabilities. </w:t>
      </w:r>
      <w:r w:rsidR="00D804F7">
        <w:rPr>
          <w:rFonts w:ascii="Times New Roman" w:eastAsia="Times New Roman" w:hAnsi="Times New Roman" w:cs="Times New Roman"/>
          <w:sz w:val="24"/>
          <w:szCs w:val="24"/>
        </w:rPr>
        <w:t xml:space="preserve">According to your audit, your top taxpayers also contain mainly government services or LLC property owners. Moreover, consider St. Charles revenue stream is composed of 39% property tax, 35% grants, and 10% charges, whereas Byron’s is composed of 72.5% property taxes, 13.3% charges, and only 6.3% grants. A positive area to note is the general fund balance levels, which are approximately ¾ of Byron. However, when considering the large pension liabilities, </w:t>
      </w:r>
      <w:r w:rsidR="00E4206E">
        <w:rPr>
          <w:rFonts w:ascii="Times New Roman" w:eastAsia="Times New Roman" w:hAnsi="Times New Roman" w:cs="Times New Roman"/>
          <w:sz w:val="24"/>
          <w:szCs w:val="24"/>
        </w:rPr>
        <w:t>dependency on state assistance to raise revenues, and revenue raising methods for the general fund (which is supported primarily from LAGs), this is given a score of 1.</w:t>
      </w:r>
    </w:p>
    <w:p w14:paraId="45FB4767" w14:textId="16F1E2DE" w:rsidR="00E4206E" w:rsidRDefault="00E4206E" w:rsidP="00B467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third component, debt levels, is the most concerning of all four components listed. St. Charles’ debt to assessed value is at 2.78%, while Byron’s is 1.57% and Goodview’s is 1.39%. Moreover, debt service and its interest paid out far exceeds either Byron or Goodview. Byron and St. Charles have comparable debts per capita, but Byron benefits from its stronger economic base, and its associated higher assessed property values. For these reasons, and because St. Charles is broaching the state legal limit, the rating given to this component is 1.</w:t>
      </w:r>
    </w:p>
    <w:p w14:paraId="3DB8BDB3" w14:textId="67911C67" w:rsidR="00587439" w:rsidRDefault="00E4206E" w:rsidP="00B467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St. Charles is in a much different position than both Byron and Goodview </w:t>
      </w:r>
      <w:r w:rsidR="00587439">
        <w:rPr>
          <w:rFonts w:ascii="Times New Roman" w:eastAsia="Times New Roman" w:hAnsi="Times New Roman" w:cs="Times New Roman"/>
          <w:sz w:val="24"/>
          <w:szCs w:val="24"/>
        </w:rPr>
        <w:t xml:space="preserve">vis-à-vis </w:t>
      </w:r>
      <w:r>
        <w:rPr>
          <w:rFonts w:ascii="Times New Roman" w:eastAsia="Times New Roman" w:hAnsi="Times New Roman" w:cs="Times New Roman"/>
          <w:sz w:val="24"/>
          <w:szCs w:val="24"/>
        </w:rPr>
        <w:t xml:space="preserve">its management policies and practices. </w:t>
      </w:r>
      <w:r w:rsidR="00563474">
        <w:rPr>
          <w:rFonts w:ascii="Times New Roman" w:eastAsia="Times New Roman" w:hAnsi="Times New Roman" w:cs="Times New Roman"/>
          <w:sz w:val="24"/>
          <w:szCs w:val="24"/>
        </w:rPr>
        <w:t>As shown in Appendix A, St. Charles relies on local government assistance for approximately 64% of its general fund revenues, and its expenditures have recently exceeded its revenues. All three cities report auditing of their finances</w:t>
      </w:r>
      <w:r w:rsidR="00587439">
        <w:rPr>
          <w:rFonts w:ascii="Times New Roman" w:eastAsia="Times New Roman" w:hAnsi="Times New Roman" w:cs="Times New Roman"/>
          <w:sz w:val="24"/>
          <w:szCs w:val="24"/>
        </w:rPr>
        <w:t xml:space="preserve"> in recent years</w:t>
      </w:r>
      <w:r w:rsidR="00563474">
        <w:rPr>
          <w:rFonts w:ascii="Times New Roman" w:eastAsia="Times New Roman" w:hAnsi="Times New Roman" w:cs="Times New Roman"/>
          <w:sz w:val="24"/>
          <w:szCs w:val="24"/>
        </w:rPr>
        <w:t>, but none evaluate or explicitly list climate adaptation planning. Byron recently called for a balanced budget, and both Byron and Goodview benefit from consistent surpluses.</w:t>
      </w:r>
      <w:r w:rsidR="006B73F8">
        <w:rPr>
          <w:rFonts w:ascii="Times New Roman" w:eastAsia="Times New Roman" w:hAnsi="Times New Roman" w:cs="Times New Roman"/>
          <w:sz w:val="24"/>
          <w:szCs w:val="24"/>
        </w:rPr>
        <w:t xml:space="preserve"> Explicitly defining measures to work towards a balanced budget, general funds supported to a greater extent by the </w:t>
      </w:r>
      <w:proofErr w:type="gramStart"/>
      <w:r w:rsidR="006B73F8">
        <w:rPr>
          <w:rFonts w:ascii="Times New Roman" w:eastAsia="Times New Roman" w:hAnsi="Times New Roman" w:cs="Times New Roman"/>
          <w:sz w:val="24"/>
          <w:szCs w:val="24"/>
        </w:rPr>
        <w:t>town, and</w:t>
      </w:r>
      <w:proofErr w:type="gramEnd"/>
      <w:r w:rsidR="006B73F8">
        <w:rPr>
          <w:rFonts w:ascii="Times New Roman" w:eastAsia="Times New Roman" w:hAnsi="Times New Roman" w:cs="Times New Roman"/>
          <w:sz w:val="24"/>
          <w:szCs w:val="24"/>
        </w:rPr>
        <w:t xml:space="preserve"> forecasting information to account for outstanding bonds and growth will help the city become a competitive issuer. As it stands, t</w:t>
      </w:r>
      <w:r w:rsidR="00587439">
        <w:rPr>
          <w:rFonts w:ascii="Times New Roman" w:eastAsia="Times New Roman" w:hAnsi="Times New Roman" w:cs="Times New Roman"/>
          <w:sz w:val="24"/>
          <w:szCs w:val="24"/>
        </w:rPr>
        <w:t>he rating given for this component is a 2.</w:t>
      </w:r>
    </w:p>
    <w:p w14:paraId="66A1020D" w14:textId="13AD864A" w:rsidR="006B73F8" w:rsidRDefault="00587439" w:rsidP="00E420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Unfortunately, based on our current calculation, this bond would be given a grade below BBB- and would be considered speculative. However, this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to say that St. Charles is likely to default nor can reach a higher credit rating over time. Since this is </w:t>
      </w:r>
      <w:r w:rsidR="00A00577">
        <w:rPr>
          <w:rFonts w:ascii="Times New Roman" w:eastAsia="Times New Roman" w:hAnsi="Times New Roman" w:cs="Times New Roman"/>
          <w:sz w:val="24"/>
          <w:szCs w:val="24"/>
        </w:rPr>
        <w:t xml:space="preserve">a refunded bond on prior </w:t>
      </w:r>
      <w:proofErr w:type="gramStart"/>
      <w:r w:rsidR="00A00577">
        <w:rPr>
          <w:rFonts w:ascii="Times New Roman" w:eastAsia="Times New Roman" w:hAnsi="Times New Roman" w:cs="Times New Roman"/>
          <w:sz w:val="24"/>
          <w:szCs w:val="24"/>
        </w:rPr>
        <w:t>issues, and</w:t>
      </w:r>
      <w:proofErr w:type="gramEnd"/>
      <w:r w:rsidR="00A00577">
        <w:rPr>
          <w:rFonts w:ascii="Times New Roman" w:eastAsia="Times New Roman" w:hAnsi="Times New Roman" w:cs="Times New Roman"/>
          <w:sz w:val="24"/>
          <w:szCs w:val="24"/>
        </w:rPr>
        <w:t xml:space="preserve"> given that the state is likely to support St. Charles with LGAs into the future, the holder should feel confident in receiving its return.</w:t>
      </w:r>
      <w:r w:rsidR="00A00577">
        <w:rPr>
          <w:rStyle w:val="FootnoteReference"/>
          <w:rFonts w:ascii="Times New Roman" w:eastAsia="Times New Roman" w:hAnsi="Times New Roman" w:cs="Times New Roman"/>
          <w:sz w:val="24"/>
          <w:szCs w:val="24"/>
        </w:rPr>
        <w:footnoteReference w:id="1"/>
      </w:r>
      <w:r w:rsidR="00A00577">
        <w:rPr>
          <w:rFonts w:ascii="Times New Roman" w:eastAsia="Times New Roman" w:hAnsi="Times New Roman" w:cs="Times New Roman"/>
          <w:sz w:val="24"/>
          <w:szCs w:val="24"/>
        </w:rPr>
        <w:t xml:space="preserve"> Moreover, as St. Charles continues to pay off its outstanding bonds, which this current issue is intended to accomplish, the city can find itself in a much more favorable position in the future. However, this future is also contingent on continued growth and diversification; its closeness to the Mayo Clinic and other Olmsted County employers </w:t>
      </w:r>
      <w:proofErr w:type="gramStart"/>
      <w:r w:rsidR="00A00577">
        <w:rPr>
          <w:rFonts w:ascii="Times New Roman" w:eastAsia="Times New Roman" w:hAnsi="Times New Roman" w:cs="Times New Roman"/>
          <w:sz w:val="24"/>
          <w:szCs w:val="24"/>
        </w:rPr>
        <w:t>offer</w:t>
      </w:r>
      <w:proofErr w:type="gramEnd"/>
      <w:r w:rsidR="00A00577">
        <w:rPr>
          <w:rFonts w:ascii="Times New Roman" w:eastAsia="Times New Roman" w:hAnsi="Times New Roman" w:cs="Times New Roman"/>
          <w:sz w:val="24"/>
          <w:szCs w:val="24"/>
        </w:rPr>
        <w:t xml:space="preserve"> it a strong foundation for future residential gr</w:t>
      </w:r>
      <w:r w:rsidR="006B73F8">
        <w:rPr>
          <w:rFonts w:ascii="Times New Roman" w:eastAsia="Times New Roman" w:hAnsi="Times New Roman" w:cs="Times New Roman"/>
          <w:sz w:val="24"/>
          <w:szCs w:val="24"/>
        </w:rPr>
        <w:t>o</w:t>
      </w:r>
      <w:r w:rsidR="00A00577">
        <w:rPr>
          <w:rFonts w:ascii="Times New Roman" w:eastAsia="Times New Roman" w:hAnsi="Times New Roman" w:cs="Times New Roman"/>
          <w:sz w:val="24"/>
          <w:szCs w:val="24"/>
        </w:rPr>
        <w:t xml:space="preserve">wth. </w:t>
      </w:r>
    </w:p>
    <w:p w14:paraId="030585C6" w14:textId="350D2711" w:rsidR="00073C04"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54A08F71" w14:textId="2EABBAD8" w:rsidR="00073C04"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0D2BAD50" w14:textId="5FA49C6B" w:rsidR="00073C04"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4911A437" w14:textId="44D5A8AC" w:rsidR="00073C04"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53B4AE64" w14:textId="55931F59" w:rsidR="00073C04"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08267E30" w14:textId="47C3BDA5" w:rsidR="00073C04"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3B4F4459" w14:textId="6AFDE944" w:rsidR="00073C04"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61A2E7C8" w14:textId="77777777" w:rsidR="00073C04" w:rsidRPr="006B73F8" w:rsidRDefault="00073C04" w:rsidP="00E4206E">
      <w:pPr>
        <w:spacing w:before="100" w:beforeAutospacing="1" w:after="100" w:afterAutospacing="1" w:line="240" w:lineRule="auto"/>
        <w:rPr>
          <w:rFonts w:ascii="Times New Roman" w:eastAsia="Times New Roman" w:hAnsi="Times New Roman" w:cs="Times New Roman"/>
          <w:sz w:val="24"/>
          <w:szCs w:val="24"/>
        </w:rPr>
      </w:pPr>
    </w:p>
    <w:p w14:paraId="4EF94ADA" w14:textId="2A2D4398" w:rsidR="00E4206E" w:rsidRPr="00587439" w:rsidRDefault="00587439" w:rsidP="00587439">
      <w:pPr>
        <w:spacing w:before="100" w:beforeAutospacing="1" w:after="100" w:afterAutospacing="1" w:line="240" w:lineRule="auto"/>
        <w:jc w:val="center"/>
        <w:rPr>
          <w:rFonts w:ascii="Times New Roman" w:eastAsia="Times New Roman" w:hAnsi="Times New Roman" w:cs="Times New Roman"/>
          <w:b/>
          <w:bCs/>
          <w:sz w:val="24"/>
          <w:szCs w:val="24"/>
          <w:u w:val="single"/>
        </w:rPr>
      </w:pPr>
      <w:r w:rsidRPr="00587439">
        <w:rPr>
          <w:rFonts w:ascii="Times New Roman" w:eastAsia="Times New Roman" w:hAnsi="Times New Roman" w:cs="Times New Roman"/>
          <w:b/>
          <w:bCs/>
          <w:sz w:val="24"/>
          <w:szCs w:val="24"/>
          <w:u w:val="single"/>
        </w:rPr>
        <w:lastRenderedPageBreak/>
        <w:t>Appendix A</w:t>
      </w:r>
    </w:p>
    <w:tbl>
      <w:tblPr>
        <w:tblStyle w:val="TableGrid"/>
        <w:tblW w:w="0" w:type="auto"/>
        <w:tblLook w:val="04A0" w:firstRow="1" w:lastRow="0" w:firstColumn="1" w:lastColumn="0" w:noHBand="0" w:noVBand="1"/>
      </w:tblPr>
      <w:tblGrid>
        <w:gridCol w:w="2385"/>
        <w:gridCol w:w="2380"/>
        <w:gridCol w:w="2340"/>
        <w:gridCol w:w="2245"/>
      </w:tblGrid>
      <w:tr w:rsidR="00587439" w:rsidRPr="00587439" w14:paraId="4E2516B7" w14:textId="77777777" w:rsidTr="0026526E">
        <w:trPr>
          <w:trHeight w:val="290"/>
        </w:trPr>
        <w:tc>
          <w:tcPr>
            <w:tcW w:w="2385" w:type="dxa"/>
            <w:noWrap/>
            <w:hideMark/>
          </w:tcPr>
          <w:p w14:paraId="34630C25" w14:textId="77777777" w:rsidR="00587439" w:rsidRPr="0026526E" w:rsidRDefault="0026526E" w:rsidP="0026526E">
            <w:pPr>
              <w:jc w:val="center"/>
              <w:rPr>
                <w:rFonts w:ascii="Calibri" w:eastAsia="Times New Roman" w:hAnsi="Calibri" w:cs="Calibri"/>
                <w:b/>
                <w:bCs/>
                <w:color w:val="000000"/>
                <w:sz w:val="16"/>
                <w:szCs w:val="16"/>
              </w:rPr>
            </w:pPr>
            <w:r w:rsidRPr="0026526E">
              <w:rPr>
                <w:rFonts w:ascii="Calibri" w:eastAsia="Times New Roman" w:hAnsi="Calibri" w:cs="Calibri"/>
                <w:b/>
                <w:bCs/>
                <w:color w:val="000000"/>
                <w:sz w:val="16"/>
                <w:szCs w:val="16"/>
              </w:rPr>
              <w:t>Components in bold</w:t>
            </w:r>
          </w:p>
          <w:p w14:paraId="47BBFCF8" w14:textId="1F5D3017" w:rsidR="0026526E" w:rsidRPr="00587439" w:rsidRDefault="0026526E" w:rsidP="0026526E">
            <w:pPr>
              <w:jc w:val="center"/>
              <w:rPr>
                <w:rFonts w:ascii="Calibri" w:eastAsia="Times New Roman" w:hAnsi="Calibri" w:cs="Calibri"/>
                <w:i/>
                <w:iCs/>
                <w:color w:val="000000"/>
                <w:sz w:val="16"/>
                <w:szCs w:val="16"/>
              </w:rPr>
            </w:pPr>
            <w:r>
              <w:rPr>
                <w:rFonts w:ascii="Calibri" w:eastAsia="Times New Roman" w:hAnsi="Calibri" w:cs="Calibri"/>
                <w:i/>
                <w:iCs/>
                <w:color w:val="000000"/>
                <w:sz w:val="16"/>
                <w:szCs w:val="16"/>
              </w:rPr>
              <w:t>Subcomponents in italics</w:t>
            </w:r>
          </w:p>
        </w:tc>
        <w:tc>
          <w:tcPr>
            <w:tcW w:w="2380" w:type="dxa"/>
            <w:noWrap/>
            <w:hideMark/>
          </w:tcPr>
          <w:p w14:paraId="11E49136" w14:textId="77777777" w:rsidR="00587439" w:rsidRPr="00587439" w:rsidRDefault="00587439" w:rsidP="0026526E">
            <w:pPr>
              <w:jc w:val="center"/>
              <w:rPr>
                <w:rFonts w:ascii="Calibri" w:eastAsia="Times New Roman" w:hAnsi="Calibri" w:cs="Calibri"/>
                <w:b/>
                <w:bCs/>
                <w:color w:val="000000"/>
                <w:sz w:val="20"/>
                <w:szCs w:val="20"/>
              </w:rPr>
            </w:pPr>
            <w:r w:rsidRPr="00587439">
              <w:rPr>
                <w:rFonts w:ascii="Calibri" w:eastAsia="Times New Roman" w:hAnsi="Calibri" w:cs="Calibri"/>
                <w:b/>
                <w:bCs/>
                <w:color w:val="000000"/>
                <w:sz w:val="20"/>
                <w:szCs w:val="20"/>
              </w:rPr>
              <w:t>St. Charles</w:t>
            </w:r>
          </w:p>
        </w:tc>
        <w:tc>
          <w:tcPr>
            <w:tcW w:w="2340" w:type="dxa"/>
            <w:noWrap/>
            <w:hideMark/>
          </w:tcPr>
          <w:p w14:paraId="08A3734D" w14:textId="77777777" w:rsidR="00587439" w:rsidRPr="00587439" w:rsidRDefault="00587439" w:rsidP="0026526E">
            <w:pPr>
              <w:jc w:val="center"/>
              <w:rPr>
                <w:rFonts w:ascii="Calibri" w:eastAsia="Times New Roman" w:hAnsi="Calibri" w:cs="Calibri"/>
                <w:b/>
                <w:bCs/>
                <w:color w:val="000000"/>
                <w:sz w:val="20"/>
                <w:szCs w:val="20"/>
              </w:rPr>
            </w:pPr>
            <w:r w:rsidRPr="00587439">
              <w:rPr>
                <w:rFonts w:ascii="Calibri" w:eastAsia="Times New Roman" w:hAnsi="Calibri" w:cs="Calibri"/>
                <w:b/>
                <w:bCs/>
                <w:color w:val="000000"/>
                <w:sz w:val="20"/>
                <w:szCs w:val="20"/>
              </w:rPr>
              <w:t>Byron</w:t>
            </w:r>
          </w:p>
        </w:tc>
        <w:tc>
          <w:tcPr>
            <w:tcW w:w="2245" w:type="dxa"/>
            <w:noWrap/>
            <w:hideMark/>
          </w:tcPr>
          <w:p w14:paraId="018B0AAC" w14:textId="77777777" w:rsidR="00587439" w:rsidRPr="00587439" w:rsidRDefault="00587439" w:rsidP="0026526E">
            <w:pPr>
              <w:jc w:val="center"/>
              <w:rPr>
                <w:rFonts w:ascii="Calibri" w:eastAsia="Times New Roman" w:hAnsi="Calibri" w:cs="Calibri"/>
                <w:b/>
                <w:bCs/>
                <w:color w:val="000000"/>
                <w:sz w:val="20"/>
                <w:szCs w:val="20"/>
              </w:rPr>
            </w:pPr>
            <w:r w:rsidRPr="00587439">
              <w:rPr>
                <w:rFonts w:ascii="Calibri" w:eastAsia="Times New Roman" w:hAnsi="Calibri" w:cs="Calibri"/>
                <w:b/>
                <w:bCs/>
                <w:color w:val="000000"/>
                <w:sz w:val="20"/>
                <w:szCs w:val="20"/>
              </w:rPr>
              <w:t>Goodview</w:t>
            </w:r>
          </w:p>
        </w:tc>
      </w:tr>
      <w:tr w:rsidR="00587439" w:rsidRPr="00587439" w14:paraId="1A192352" w14:textId="77777777" w:rsidTr="0026526E">
        <w:trPr>
          <w:trHeight w:val="290"/>
        </w:trPr>
        <w:tc>
          <w:tcPr>
            <w:tcW w:w="2385" w:type="dxa"/>
            <w:noWrap/>
            <w:hideMark/>
          </w:tcPr>
          <w:p w14:paraId="7FE54717" w14:textId="07FFC192" w:rsidR="00587439" w:rsidRPr="00587439" w:rsidRDefault="00587439" w:rsidP="00587439">
            <w:pPr>
              <w:rPr>
                <w:rFonts w:ascii="Calibri" w:eastAsia="Times New Roman" w:hAnsi="Calibri" w:cs="Calibri"/>
                <w:b/>
                <w:bCs/>
                <w:color w:val="000000"/>
                <w:sz w:val="16"/>
                <w:szCs w:val="16"/>
              </w:rPr>
            </w:pPr>
            <w:r w:rsidRPr="00587439">
              <w:rPr>
                <w:rFonts w:ascii="Calibri" w:eastAsia="Times New Roman" w:hAnsi="Calibri" w:cs="Calibri"/>
                <w:b/>
                <w:bCs/>
                <w:color w:val="000000"/>
                <w:sz w:val="16"/>
                <w:szCs w:val="16"/>
              </w:rPr>
              <w:t>Credit Rating on Bonds</w:t>
            </w:r>
          </w:p>
        </w:tc>
        <w:tc>
          <w:tcPr>
            <w:tcW w:w="2380" w:type="dxa"/>
            <w:noWrap/>
            <w:hideMark/>
          </w:tcPr>
          <w:p w14:paraId="19E53624" w14:textId="0C9585CA" w:rsidR="00587439" w:rsidRPr="00587439" w:rsidRDefault="00FD214C" w:rsidP="00587439">
            <w:pPr>
              <w:rPr>
                <w:rFonts w:ascii="Calibri" w:eastAsia="Times New Roman" w:hAnsi="Calibri" w:cs="Calibri"/>
                <w:b/>
                <w:bCs/>
                <w:color w:val="000000"/>
                <w:sz w:val="16"/>
                <w:szCs w:val="16"/>
              </w:rPr>
            </w:pPr>
            <w:r>
              <w:rPr>
                <w:rFonts w:ascii="Calibri" w:eastAsia="Times New Roman" w:hAnsi="Calibri" w:cs="Calibri"/>
                <w:b/>
                <w:bCs/>
                <w:color w:val="000000"/>
                <w:sz w:val="16"/>
                <w:szCs w:val="16"/>
              </w:rPr>
              <w:t>Speculative (&lt; BBB-)</w:t>
            </w:r>
          </w:p>
        </w:tc>
        <w:tc>
          <w:tcPr>
            <w:tcW w:w="2340" w:type="dxa"/>
            <w:noWrap/>
            <w:hideMark/>
          </w:tcPr>
          <w:p w14:paraId="095AD56E" w14:textId="77777777" w:rsidR="00587439" w:rsidRPr="00587439" w:rsidRDefault="00587439" w:rsidP="00587439">
            <w:pPr>
              <w:rPr>
                <w:rFonts w:ascii="Calibri" w:eastAsia="Times New Roman" w:hAnsi="Calibri" w:cs="Calibri"/>
                <w:b/>
                <w:bCs/>
                <w:color w:val="000000"/>
                <w:sz w:val="16"/>
                <w:szCs w:val="16"/>
              </w:rPr>
            </w:pPr>
            <w:r w:rsidRPr="00587439">
              <w:rPr>
                <w:rFonts w:ascii="Calibri" w:eastAsia="Times New Roman" w:hAnsi="Calibri" w:cs="Calibri"/>
                <w:b/>
                <w:bCs/>
                <w:color w:val="000000"/>
                <w:sz w:val="16"/>
                <w:szCs w:val="16"/>
              </w:rPr>
              <w:t>AA</w:t>
            </w:r>
          </w:p>
        </w:tc>
        <w:tc>
          <w:tcPr>
            <w:tcW w:w="2245" w:type="dxa"/>
            <w:noWrap/>
            <w:hideMark/>
          </w:tcPr>
          <w:p w14:paraId="7CBA81F9" w14:textId="77777777" w:rsidR="00587439" w:rsidRPr="00587439" w:rsidRDefault="00587439" w:rsidP="00587439">
            <w:pPr>
              <w:rPr>
                <w:rFonts w:ascii="Calibri" w:eastAsia="Times New Roman" w:hAnsi="Calibri" w:cs="Calibri"/>
                <w:b/>
                <w:bCs/>
                <w:color w:val="000000"/>
                <w:sz w:val="16"/>
                <w:szCs w:val="16"/>
              </w:rPr>
            </w:pPr>
            <w:r w:rsidRPr="00587439">
              <w:rPr>
                <w:rFonts w:ascii="Calibri" w:eastAsia="Times New Roman" w:hAnsi="Calibri" w:cs="Calibri"/>
                <w:b/>
                <w:bCs/>
                <w:color w:val="000000"/>
                <w:sz w:val="16"/>
                <w:szCs w:val="16"/>
              </w:rPr>
              <w:t>AA-</w:t>
            </w:r>
          </w:p>
        </w:tc>
      </w:tr>
      <w:tr w:rsidR="00587439" w:rsidRPr="00587439" w14:paraId="75921CBD" w14:textId="77777777" w:rsidTr="0026526E">
        <w:trPr>
          <w:trHeight w:val="290"/>
        </w:trPr>
        <w:tc>
          <w:tcPr>
            <w:tcW w:w="2385" w:type="dxa"/>
            <w:noWrap/>
            <w:hideMark/>
          </w:tcPr>
          <w:p w14:paraId="516CCFFD" w14:textId="77777777" w:rsidR="00587439" w:rsidRPr="00587439" w:rsidRDefault="00587439" w:rsidP="00587439">
            <w:pPr>
              <w:rPr>
                <w:rFonts w:ascii="Calibri" w:eastAsia="Times New Roman" w:hAnsi="Calibri" w:cs="Calibri"/>
                <w:b/>
                <w:bCs/>
                <w:color w:val="000000"/>
                <w:sz w:val="16"/>
                <w:szCs w:val="16"/>
              </w:rPr>
            </w:pPr>
            <w:r w:rsidRPr="00587439">
              <w:rPr>
                <w:rFonts w:ascii="Calibri" w:eastAsia="Times New Roman" w:hAnsi="Calibri" w:cs="Calibri"/>
                <w:b/>
                <w:bCs/>
                <w:color w:val="000000"/>
                <w:sz w:val="16"/>
                <w:szCs w:val="16"/>
              </w:rPr>
              <w:t>Economic Base</w:t>
            </w:r>
          </w:p>
        </w:tc>
        <w:tc>
          <w:tcPr>
            <w:tcW w:w="2380" w:type="dxa"/>
            <w:noWrap/>
            <w:hideMark/>
          </w:tcPr>
          <w:p w14:paraId="5673F686"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340" w:type="dxa"/>
            <w:noWrap/>
            <w:hideMark/>
          </w:tcPr>
          <w:p w14:paraId="39C555CF"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245" w:type="dxa"/>
            <w:noWrap/>
            <w:hideMark/>
          </w:tcPr>
          <w:p w14:paraId="6279CBF3"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r>
      <w:tr w:rsidR="00587439" w:rsidRPr="00587439" w14:paraId="668D7DED" w14:textId="77777777" w:rsidTr="0026526E">
        <w:trPr>
          <w:trHeight w:val="290"/>
        </w:trPr>
        <w:tc>
          <w:tcPr>
            <w:tcW w:w="2385" w:type="dxa"/>
            <w:noWrap/>
            <w:hideMark/>
          </w:tcPr>
          <w:p w14:paraId="675F7DE6"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Strength/Comp</w:t>
            </w:r>
            <w:r w:rsidRPr="00587439">
              <w:rPr>
                <w:rFonts w:ascii="Calibri" w:eastAsia="Times New Roman" w:hAnsi="Calibri" w:cs="Calibri"/>
                <w:i/>
                <w:iCs/>
                <w:color w:val="000000"/>
                <w:sz w:val="16"/>
                <w:szCs w:val="16"/>
              </w:rPr>
              <w:t>osition</w:t>
            </w:r>
            <w:r w:rsidRPr="00587439">
              <w:rPr>
                <w:rFonts w:ascii="Calibri" w:eastAsia="Times New Roman" w:hAnsi="Calibri" w:cs="Calibri"/>
                <w:i/>
                <w:iCs/>
                <w:color w:val="000000"/>
                <w:sz w:val="16"/>
                <w:szCs w:val="16"/>
              </w:rPr>
              <w:t>/</w:t>
            </w:r>
          </w:p>
          <w:p w14:paraId="01657B58" w14:textId="15548ADA"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Diversity of economy</w:t>
            </w:r>
          </w:p>
        </w:tc>
        <w:tc>
          <w:tcPr>
            <w:tcW w:w="2380" w:type="dxa"/>
            <w:noWrap/>
            <w:hideMark/>
          </w:tcPr>
          <w:p w14:paraId="2D399C0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not diverse; not much property tax; few major employers</w:t>
            </w:r>
          </w:p>
        </w:tc>
        <w:tc>
          <w:tcPr>
            <w:tcW w:w="2340" w:type="dxa"/>
            <w:noWrap/>
            <w:hideMark/>
          </w:tcPr>
          <w:p w14:paraId="1623E08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very diverse for its size; employment not concentrated in one sector (pg. 21-22)</w:t>
            </w:r>
          </w:p>
        </w:tc>
        <w:tc>
          <w:tcPr>
            <w:tcW w:w="2245" w:type="dxa"/>
            <w:noWrap/>
            <w:hideMark/>
          </w:tcPr>
          <w:p w14:paraId="7969AFE3"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Less diverse than Byron, more than St. Charles; diverse employer composition </w:t>
            </w:r>
          </w:p>
        </w:tc>
      </w:tr>
      <w:tr w:rsidR="00587439" w:rsidRPr="00587439" w14:paraId="29297782" w14:textId="77777777" w:rsidTr="0026526E">
        <w:trPr>
          <w:trHeight w:val="290"/>
        </w:trPr>
        <w:tc>
          <w:tcPr>
            <w:tcW w:w="2385" w:type="dxa"/>
            <w:noWrap/>
            <w:hideMark/>
          </w:tcPr>
          <w:p w14:paraId="5D24E941" w14:textId="77777777" w:rsidR="00587439" w:rsidRPr="00587439" w:rsidRDefault="00587439" w:rsidP="00587439">
            <w:pPr>
              <w:rPr>
                <w:rFonts w:ascii="Calibri" w:eastAsia="Times New Roman" w:hAnsi="Calibri" w:cs="Calibri"/>
                <w:i/>
                <w:iCs/>
                <w:color w:val="000000"/>
                <w:sz w:val="16"/>
                <w:szCs w:val="16"/>
              </w:rPr>
            </w:pPr>
          </w:p>
        </w:tc>
        <w:tc>
          <w:tcPr>
            <w:tcW w:w="2380" w:type="dxa"/>
            <w:noWrap/>
            <w:hideMark/>
          </w:tcPr>
          <w:p w14:paraId="6C153BA0" w14:textId="77777777" w:rsidR="00587439" w:rsidRPr="00587439" w:rsidRDefault="00587439" w:rsidP="00587439">
            <w:pPr>
              <w:rPr>
                <w:rFonts w:ascii="Times New Roman" w:eastAsia="Times New Roman" w:hAnsi="Times New Roman" w:cs="Times New Roman"/>
                <w:sz w:val="16"/>
                <w:szCs w:val="16"/>
              </w:rPr>
            </w:pPr>
          </w:p>
        </w:tc>
        <w:tc>
          <w:tcPr>
            <w:tcW w:w="2340" w:type="dxa"/>
            <w:noWrap/>
            <w:hideMark/>
          </w:tcPr>
          <w:p w14:paraId="059D613D" w14:textId="77777777" w:rsidR="00587439" w:rsidRPr="00587439" w:rsidRDefault="00587439" w:rsidP="00587439">
            <w:pPr>
              <w:rPr>
                <w:rFonts w:ascii="Times New Roman" w:eastAsia="Times New Roman" w:hAnsi="Times New Roman" w:cs="Times New Roman"/>
                <w:sz w:val="16"/>
                <w:szCs w:val="16"/>
              </w:rPr>
            </w:pPr>
          </w:p>
        </w:tc>
        <w:tc>
          <w:tcPr>
            <w:tcW w:w="2245" w:type="dxa"/>
            <w:noWrap/>
            <w:hideMark/>
          </w:tcPr>
          <w:p w14:paraId="01A81B3C"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(pp. 30,16,89)</w:t>
            </w:r>
          </w:p>
        </w:tc>
      </w:tr>
      <w:tr w:rsidR="00587439" w:rsidRPr="00587439" w14:paraId="54F72BAD" w14:textId="77777777" w:rsidTr="0026526E">
        <w:trPr>
          <w:trHeight w:val="290"/>
        </w:trPr>
        <w:tc>
          <w:tcPr>
            <w:tcW w:w="2385" w:type="dxa"/>
            <w:noWrap/>
            <w:hideMark/>
          </w:tcPr>
          <w:p w14:paraId="36DA7E3C"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Assessed property value</w:t>
            </w:r>
          </w:p>
        </w:tc>
        <w:tc>
          <w:tcPr>
            <w:tcW w:w="2380" w:type="dxa"/>
            <w:noWrap/>
            <w:hideMark/>
          </w:tcPr>
          <w:p w14:paraId="77299820" w14:textId="2E6BEF45"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2017</w:t>
            </w:r>
            <w:r w:rsidR="0026526E">
              <w:rPr>
                <w:rFonts w:ascii="Calibri" w:eastAsia="Times New Roman" w:hAnsi="Calibri" w:cs="Calibri"/>
                <w:color w:val="000000"/>
                <w:sz w:val="16"/>
                <w:szCs w:val="16"/>
              </w:rPr>
              <w:t xml:space="preserve">: </w:t>
            </w:r>
            <w:r w:rsidRPr="00587439">
              <w:rPr>
                <w:rFonts w:ascii="Calibri" w:eastAsia="Times New Roman" w:hAnsi="Calibri" w:cs="Calibri"/>
                <w:color w:val="000000"/>
                <w:sz w:val="16"/>
                <w:szCs w:val="16"/>
              </w:rPr>
              <w:t xml:space="preserve">$206,861,66) </w:t>
            </w:r>
            <w:r w:rsidR="0026526E">
              <w:rPr>
                <w:rFonts w:ascii="Calibri" w:eastAsia="Times New Roman" w:hAnsi="Calibri" w:cs="Calibri"/>
                <w:color w:val="000000"/>
                <w:sz w:val="16"/>
                <w:szCs w:val="16"/>
              </w:rPr>
              <w:t>(</w:t>
            </w:r>
            <w:r w:rsidRPr="00587439">
              <w:rPr>
                <w:rFonts w:ascii="Calibri" w:eastAsia="Times New Roman" w:hAnsi="Calibri" w:cs="Calibri"/>
                <w:color w:val="000000"/>
                <w:sz w:val="16"/>
                <w:szCs w:val="16"/>
              </w:rPr>
              <w:t>pg</w:t>
            </w:r>
            <w:r w:rsidR="0026526E">
              <w:rPr>
                <w:rFonts w:ascii="Calibri" w:eastAsia="Times New Roman" w:hAnsi="Calibri" w:cs="Calibri"/>
                <w:color w:val="000000"/>
                <w:sz w:val="16"/>
                <w:szCs w:val="16"/>
              </w:rPr>
              <w:t>.</w:t>
            </w:r>
            <w:r w:rsidRPr="00587439">
              <w:rPr>
                <w:rFonts w:ascii="Calibri" w:eastAsia="Times New Roman" w:hAnsi="Calibri" w:cs="Calibri"/>
                <w:color w:val="000000"/>
                <w:sz w:val="16"/>
                <w:szCs w:val="16"/>
              </w:rPr>
              <w:t xml:space="preserve"> 21</w:t>
            </w:r>
            <w:r w:rsidR="0026526E">
              <w:rPr>
                <w:rFonts w:ascii="Calibri" w:eastAsia="Times New Roman" w:hAnsi="Calibri" w:cs="Calibri"/>
                <w:color w:val="000000"/>
                <w:sz w:val="16"/>
                <w:szCs w:val="16"/>
              </w:rPr>
              <w:t>)</w:t>
            </w:r>
          </w:p>
        </w:tc>
        <w:tc>
          <w:tcPr>
            <w:tcW w:w="2340" w:type="dxa"/>
            <w:noWrap/>
            <w:hideMark/>
          </w:tcPr>
          <w:p w14:paraId="11BE015C"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2019 ($582,189,000); strong valuation trends year over year (pg. 27, 29)</w:t>
            </w:r>
          </w:p>
        </w:tc>
        <w:tc>
          <w:tcPr>
            <w:tcW w:w="2245" w:type="dxa"/>
            <w:noWrap/>
            <w:hideMark/>
          </w:tcPr>
          <w:p w14:paraId="4146D21B"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2017/18 ($301,176,800); strong valuation trend (pg. 15)</w:t>
            </w:r>
          </w:p>
        </w:tc>
      </w:tr>
      <w:tr w:rsidR="00587439" w:rsidRPr="00587439" w14:paraId="18D92E08" w14:textId="77777777" w:rsidTr="0026526E">
        <w:trPr>
          <w:trHeight w:val="290"/>
        </w:trPr>
        <w:tc>
          <w:tcPr>
            <w:tcW w:w="2385" w:type="dxa"/>
            <w:noWrap/>
            <w:hideMark/>
          </w:tcPr>
          <w:p w14:paraId="29536BD5"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taxable retail sales</w:t>
            </w:r>
          </w:p>
        </w:tc>
        <w:tc>
          <w:tcPr>
            <w:tcW w:w="2380" w:type="dxa"/>
            <w:noWrap/>
            <w:hideMark/>
          </w:tcPr>
          <w:p w14:paraId="005C9802" w14:textId="13929AA0"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(N/A; state has approx. 7.38%, ex</w:t>
            </w:r>
            <w:r w:rsidR="0026526E">
              <w:rPr>
                <w:rFonts w:ascii="Calibri" w:eastAsia="Times New Roman" w:hAnsi="Calibri" w:cs="Calibri"/>
                <w:color w:val="000000"/>
                <w:sz w:val="16"/>
                <w:szCs w:val="16"/>
              </w:rPr>
              <w:t>cluding</w:t>
            </w:r>
            <w:r w:rsidRPr="00587439">
              <w:rPr>
                <w:rFonts w:ascii="Calibri" w:eastAsia="Times New Roman" w:hAnsi="Calibri" w:cs="Calibri"/>
                <w:color w:val="000000"/>
                <w:sz w:val="16"/>
                <w:szCs w:val="16"/>
              </w:rPr>
              <w:t xml:space="preserve"> </w:t>
            </w:r>
            <w:r w:rsidR="0026526E">
              <w:rPr>
                <w:rFonts w:ascii="Calibri" w:eastAsia="Times New Roman" w:hAnsi="Calibri" w:cs="Calibri"/>
                <w:color w:val="000000"/>
                <w:sz w:val="16"/>
                <w:szCs w:val="16"/>
              </w:rPr>
              <w:t>g</w:t>
            </w:r>
            <w:r w:rsidRPr="00587439">
              <w:rPr>
                <w:rFonts w:ascii="Calibri" w:eastAsia="Times New Roman" w:hAnsi="Calibri" w:cs="Calibri"/>
                <w:color w:val="000000"/>
                <w:sz w:val="16"/>
                <w:szCs w:val="16"/>
              </w:rPr>
              <w:t>roc</w:t>
            </w:r>
            <w:r w:rsidR="0026526E">
              <w:rPr>
                <w:rFonts w:ascii="Calibri" w:eastAsia="Times New Roman" w:hAnsi="Calibri" w:cs="Calibri"/>
                <w:color w:val="000000"/>
                <w:sz w:val="16"/>
                <w:szCs w:val="16"/>
              </w:rPr>
              <w:t>eries</w:t>
            </w:r>
            <w:r w:rsidRPr="00587439">
              <w:rPr>
                <w:rFonts w:ascii="Calibri" w:eastAsia="Times New Roman" w:hAnsi="Calibri" w:cs="Calibri"/>
                <w:color w:val="000000"/>
                <w:sz w:val="16"/>
                <w:szCs w:val="16"/>
              </w:rPr>
              <w:t xml:space="preserve">/clothing) </w:t>
            </w:r>
          </w:p>
        </w:tc>
        <w:tc>
          <w:tcPr>
            <w:tcW w:w="2340" w:type="dxa"/>
            <w:noWrap/>
            <w:hideMark/>
          </w:tcPr>
          <w:p w14:paraId="7B403F18" w14:textId="0A163472"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(N/A; state has approx. 7.38%, excl</w:t>
            </w:r>
            <w:r w:rsidR="0026526E">
              <w:rPr>
                <w:rFonts w:ascii="Calibri" w:eastAsia="Times New Roman" w:hAnsi="Calibri" w:cs="Calibri"/>
                <w:color w:val="000000"/>
                <w:sz w:val="16"/>
                <w:szCs w:val="16"/>
              </w:rPr>
              <w:t>uding</w:t>
            </w:r>
            <w:r w:rsidRPr="00587439">
              <w:rPr>
                <w:rFonts w:ascii="Calibri" w:eastAsia="Times New Roman" w:hAnsi="Calibri" w:cs="Calibri"/>
                <w:color w:val="000000"/>
                <w:sz w:val="16"/>
                <w:szCs w:val="16"/>
              </w:rPr>
              <w:t xml:space="preserve"> </w:t>
            </w:r>
            <w:r w:rsidR="0026526E">
              <w:rPr>
                <w:rFonts w:ascii="Calibri" w:eastAsia="Times New Roman" w:hAnsi="Calibri" w:cs="Calibri"/>
                <w:color w:val="000000"/>
                <w:sz w:val="16"/>
                <w:szCs w:val="16"/>
              </w:rPr>
              <w:t>g</w:t>
            </w:r>
            <w:r w:rsidRPr="00587439">
              <w:rPr>
                <w:rFonts w:ascii="Calibri" w:eastAsia="Times New Roman" w:hAnsi="Calibri" w:cs="Calibri"/>
                <w:color w:val="000000"/>
                <w:sz w:val="16"/>
                <w:szCs w:val="16"/>
              </w:rPr>
              <w:t>roc</w:t>
            </w:r>
            <w:r w:rsidR="0026526E">
              <w:rPr>
                <w:rFonts w:ascii="Calibri" w:eastAsia="Times New Roman" w:hAnsi="Calibri" w:cs="Calibri"/>
                <w:color w:val="000000"/>
                <w:sz w:val="16"/>
                <w:szCs w:val="16"/>
              </w:rPr>
              <w:t>eries</w:t>
            </w:r>
            <w:r w:rsidRPr="00587439">
              <w:rPr>
                <w:rFonts w:ascii="Calibri" w:eastAsia="Times New Roman" w:hAnsi="Calibri" w:cs="Calibri"/>
                <w:color w:val="000000"/>
                <w:sz w:val="16"/>
                <w:szCs w:val="16"/>
              </w:rPr>
              <w:t xml:space="preserve">/clothing) </w:t>
            </w:r>
          </w:p>
        </w:tc>
        <w:tc>
          <w:tcPr>
            <w:tcW w:w="2245" w:type="dxa"/>
            <w:noWrap/>
            <w:hideMark/>
          </w:tcPr>
          <w:p w14:paraId="6AC168AA" w14:textId="0A689CB3"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(N/A; state has approx. 7.38%, excl</w:t>
            </w:r>
            <w:r w:rsidR="0026526E">
              <w:rPr>
                <w:rFonts w:ascii="Calibri" w:eastAsia="Times New Roman" w:hAnsi="Calibri" w:cs="Calibri"/>
                <w:color w:val="000000"/>
                <w:sz w:val="16"/>
                <w:szCs w:val="16"/>
              </w:rPr>
              <w:t>uding</w:t>
            </w:r>
            <w:r w:rsidRPr="00587439">
              <w:rPr>
                <w:rFonts w:ascii="Calibri" w:eastAsia="Times New Roman" w:hAnsi="Calibri" w:cs="Calibri"/>
                <w:color w:val="000000"/>
                <w:sz w:val="16"/>
                <w:szCs w:val="16"/>
              </w:rPr>
              <w:t xml:space="preserve"> </w:t>
            </w:r>
            <w:r w:rsidR="0026526E">
              <w:rPr>
                <w:rFonts w:ascii="Calibri" w:eastAsia="Times New Roman" w:hAnsi="Calibri" w:cs="Calibri"/>
                <w:color w:val="000000"/>
                <w:sz w:val="16"/>
                <w:szCs w:val="16"/>
              </w:rPr>
              <w:t>groceries</w:t>
            </w:r>
            <w:r w:rsidRPr="00587439">
              <w:rPr>
                <w:rFonts w:ascii="Calibri" w:eastAsia="Times New Roman" w:hAnsi="Calibri" w:cs="Calibri"/>
                <w:color w:val="000000"/>
                <w:sz w:val="16"/>
                <w:szCs w:val="16"/>
              </w:rPr>
              <w:t xml:space="preserve">/clothing) </w:t>
            </w:r>
          </w:p>
        </w:tc>
      </w:tr>
      <w:tr w:rsidR="00587439" w:rsidRPr="00587439" w14:paraId="7BE128A1" w14:textId="77777777" w:rsidTr="0026526E">
        <w:trPr>
          <w:trHeight w:val="290"/>
        </w:trPr>
        <w:tc>
          <w:tcPr>
            <w:tcW w:w="2385" w:type="dxa"/>
            <w:noWrap/>
            <w:hideMark/>
          </w:tcPr>
          <w:p w14:paraId="5EC7AE70"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population growth</w:t>
            </w:r>
          </w:p>
        </w:tc>
        <w:tc>
          <w:tcPr>
            <w:tcW w:w="2380" w:type="dxa"/>
            <w:noWrap/>
            <w:hideMark/>
          </w:tcPr>
          <w:p w14:paraId="2D7BEE1B"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340" w:type="dxa"/>
            <w:noWrap/>
            <w:hideMark/>
          </w:tcPr>
          <w:p w14:paraId="066A5F7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245" w:type="dxa"/>
            <w:noWrap/>
            <w:hideMark/>
          </w:tcPr>
          <w:p w14:paraId="39DD5A62"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r>
      <w:tr w:rsidR="00587439" w:rsidRPr="00587439" w14:paraId="135DAF4F" w14:textId="77777777" w:rsidTr="0026526E">
        <w:trPr>
          <w:trHeight w:val="290"/>
        </w:trPr>
        <w:tc>
          <w:tcPr>
            <w:tcW w:w="2385" w:type="dxa"/>
            <w:noWrap/>
            <w:hideMark/>
          </w:tcPr>
          <w:p w14:paraId="07E0B030" w14:textId="72B3295A" w:rsidR="00587439" w:rsidRPr="00587439" w:rsidRDefault="00FD214C" w:rsidP="00587439">
            <w:pPr>
              <w:rPr>
                <w:rFonts w:ascii="Calibri" w:eastAsia="Times New Roman" w:hAnsi="Calibri" w:cs="Calibri"/>
                <w:i/>
                <w:iCs/>
                <w:color w:val="000000"/>
                <w:sz w:val="16"/>
                <w:szCs w:val="16"/>
              </w:rPr>
            </w:pPr>
            <w:r>
              <w:rPr>
                <w:rFonts w:ascii="Calibri" w:eastAsia="Times New Roman" w:hAnsi="Calibri" w:cs="Calibri"/>
                <w:i/>
                <w:iCs/>
                <w:color w:val="000000"/>
                <w:sz w:val="16"/>
                <w:szCs w:val="16"/>
              </w:rPr>
              <w:t xml:space="preserve">     </w:t>
            </w:r>
            <w:r w:rsidR="00587439" w:rsidRPr="00587439">
              <w:rPr>
                <w:rFonts w:ascii="Calibri" w:eastAsia="Times New Roman" w:hAnsi="Calibri" w:cs="Calibri"/>
                <w:i/>
                <w:iCs/>
                <w:color w:val="000000"/>
                <w:sz w:val="16"/>
                <w:szCs w:val="16"/>
              </w:rPr>
              <w:t>* 2000</w:t>
            </w:r>
          </w:p>
        </w:tc>
        <w:tc>
          <w:tcPr>
            <w:tcW w:w="2380" w:type="dxa"/>
            <w:noWrap/>
            <w:hideMark/>
          </w:tcPr>
          <w:p w14:paraId="51D3D31D"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3,295</w:t>
            </w:r>
          </w:p>
        </w:tc>
        <w:tc>
          <w:tcPr>
            <w:tcW w:w="2340" w:type="dxa"/>
            <w:noWrap/>
            <w:hideMark/>
          </w:tcPr>
          <w:p w14:paraId="4656E9C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3,500</w:t>
            </w:r>
          </w:p>
        </w:tc>
        <w:tc>
          <w:tcPr>
            <w:tcW w:w="2245" w:type="dxa"/>
            <w:noWrap/>
            <w:hideMark/>
          </w:tcPr>
          <w:p w14:paraId="0F538D3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3,373</w:t>
            </w:r>
          </w:p>
        </w:tc>
      </w:tr>
      <w:tr w:rsidR="00587439" w:rsidRPr="00587439" w14:paraId="328D9071" w14:textId="77777777" w:rsidTr="0026526E">
        <w:trPr>
          <w:trHeight w:val="290"/>
        </w:trPr>
        <w:tc>
          <w:tcPr>
            <w:tcW w:w="2385" w:type="dxa"/>
            <w:noWrap/>
            <w:hideMark/>
          </w:tcPr>
          <w:p w14:paraId="0C1B16E2" w14:textId="73DED3A1" w:rsidR="00587439" w:rsidRPr="00587439" w:rsidRDefault="00FD214C" w:rsidP="00587439">
            <w:pPr>
              <w:rPr>
                <w:rFonts w:ascii="Calibri" w:eastAsia="Times New Roman" w:hAnsi="Calibri" w:cs="Calibri"/>
                <w:i/>
                <w:iCs/>
                <w:color w:val="000000"/>
                <w:sz w:val="16"/>
                <w:szCs w:val="16"/>
              </w:rPr>
            </w:pPr>
            <w:r>
              <w:rPr>
                <w:rFonts w:ascii="Calibri" w:eastAsia="Times New Roman" w:hAnsi="Calibri" w:cs="Calibri"/>
                <w:i/>
                <w:iCs/>
                <w:color w:val="000000"/>
                <w:sz w:val="16"/>
                <w:szCs w:val="16"/>
              </w:rPr>
              <w:t xml:space="preserve">     </w:t>
            </w:r>
            <w:r w:rsidR="00587439" w:rsidRPr="00587439">
              <w:rPr>
                <w:rFonts w:ascii="Calibri" w:eastAsia="Times New Roman" w:hAnsi="Calibri" w:cs="Calibri"/>
                <w:i/>
                <w:iCs/>
                <w:color w:val="000000"/>
                <w:sz w:val="16"/>
                <w:szCs w:val="16"/>
              </w:rPr>
              <w:t>* 2010</w:t>
            </w:r>
          </w:p>
        </w:tc>
        <w:tc>
          <w:tcPr>
            <w:tcW w:w="2380" w:type="dxa"/>
            <w:noWrap/>
            <w:hideMark/>
          </w:tcPr>
          <w:p w14:paraId="0649A3E3"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3735 (+ 11.33%)</w:t>
            </w:r>
          </w:p>
        </w:tc>
        <w:tc>
          <w:tcPr>
            <w:tcW w:w="2340" w:type="dxa"/>
            <w:noWrap/>
            <w:hideMark/>
          </w:tcPr>
          <w:p w14:paraId="5220EF64"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4914 (+ 40.4%)</w:t>
            </w:r>
          </w:p>
        </w:tc>
        <w:tc>
          <w:tcPr>
            <w:tcW w:w="2245" w:type="dxa"/>
            <w:noWrap/>
            <w:hideMark/>
          </w:tcPr>
          <w:p w14:paraId="548CA472"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4036 (+ 19.65%)</w:t>
            </w:r>
          </w:p>
        </w:tc>
      </w:tr>
      <w:tr w:rsidR="00587439" w:rsidRPr="00587439" w14:paraId="02849D9C" w14:textId="77777777" w:rsidTr="0026526E">
        <w:trPr>
          <w:trHeight w:val="290"/>
        </w:trPr>
        <w:tc>
          <w:tcPr>
            <w:tcW w:w="2385" w:type="dxa"/>
            <w:noWrap/>
            <w:hideMark/>
          </w:tcPr>
          <w:p w14:paraId="7BEB0F85" w14:textId="0E649048" w:rsidR="00587439" w:rsidRPr="00587439" w:rsidRDefault="00FD214C" w:rsidP="00587439">
            <w:pPr>
              <w:rPr>
                <w:rFonts w:ascii="Calibri" w:eastAsia="Times New Roman" w:hAnsi="Calibri" w:cs="Calibri"/>
                <w:color w:val="000000"/>
                <w:sz w:val="16"/>
                <w:szCs w:val="16"/>
              </w:rPr>
            </w:pPr>
            <w:r>
              <w:rPr>
                <w:rFonts w:ascii="Calibri" w:eastAsia="Times New Roman" w:hAnsi="Calibri" w:cs="Calibri"/>
                <w:i/>
                <w:iCs/>
                <w:color w:val="000000"/>
                <w:sz w:val="16"/>
                <w:szCs w:val="16"/>
              </w:rPr>
              <w:t xml:space="preserve">     </w:t>
            </w:r>
            <w:r w:rsidR="00587439" w:rsidRPr="00587439">
              <w:rPr>
                <w:rFonts w:ascii="Calibri" w:eastAsia="Times New Roman" w:hAnsi="Calibri" w:cs="Calibri"/>
                <w:i/>
                <w:iCs/>
                <w:color w:val="000000"/>
                <w:sz w:val="16"/>
                <w:szCs w:val="16"/>
              </w:rPr>
              <w:t>*current</w:t>
            </w:r>
            <w:r w:rsidR="00587439" w:rsidRPr="00587439">
              <w:rPr>
                <w:rFonts w:ascii="Calibri" w:eastAsia="Times New Roman" w:hAnsi="Calibri" w:cs="Calibri"/>
                <w:color w:val="000000"/>
                <w:sz w:val="16"/>
                <w:szCs w:val="16"/>
              </w:rPr>
              <w:t xml:space="preserve"> </w:t>
            </w:r>
            <w:r w:rsidR="00587439" w:rsidRPr="00587439">
              <w:rPr>
                <w:rFonts w:ascii="Calibri" w:eastAsia="Times New Roman" w:hAnsi="Calibri" w:cs="Calibri"/>
                <w:i/>
                <w:iCs/>
                <w:color w:val="000000"/>
                <w:sz w:val="16"/>
                <w:szCs w:val="16"/>
              </w:rPr>
              <w:t>estimates by y</w:t>
            </w:r>
            <w:r w:rsidR="00587439" w:rsidRPr="00587439">
              <w:rPr>
                <w:rFonts w:ascii="Calibri" w:eastAsia="Times New Roman" w:hAnsi="Calibri" w:cs="Calibri"/>
                <w:i/>
                <w:iCs/>
                <w:color w:val="000000"/>
                <w:sz w:val="16"/>
                <w:szCs w:val="16"/>
              </w:rPr>
              <w:t xml:space="preserve"> </w:t>
            </w:r>
            <w:proofErr w:type="gramStart"/>
            <w:r w:rsidR="00587439" w:rsidRPr="00587439">
              <w:rPr>
                <w:rFonts w:ascii="Calibri" w:eastAsia="Times New Roman" w:hAnsi="Calibri" w:cs="Calibri"/>
                <w:i/>
                <w:iCs/>
                <w:color w:val="000000"/>
                <w:sz w:val="16"/>
                <w:szCs w:val="16"/>
              </w:rPr>
              <w:t>r</w:t>
            </w:r>
            <w:r w:rsidR="00587439" w:rsidRPr="00587439">
              <w:rPr>
                <w:rFonts w:ascii="Calibri" w:eastAsia="Times New Roman" w:hAnsi="Calibri" w:cs="Calibri"/>
                <w:color w:val="000000"/>
                <w:sz w:val="16"/>
                <w:szCs w:val="16"/>
              </w:rPr>
              <w:t>(</w:t>
            </w:r>
            <w:proofErr w:type="gramEnd"/>
            <w:r w:rsidR="00587439" w:rsidRPr="00587439">
              <w:rPr>
                <w:rFonts w:ascii="Calibri" w:eastAsia="Times New Roman" w:hAnsi="Calibri" w:cs="Calibri"/>
                <w:color w:val="000000"/>
                <w:sz w:val="16"/>
                <w:szCs w:val="16"/>
              </w:rPr>
              <w:t xml:space="preserve">St. C - 2017; </w:t>
            </w:r>
            <w:proofErr w:type="spellStart"/>
            <w:r w:rsidR="00587439" w:rsidRPr="00587439">
              <w:rPr>
                <w:rFonts w:ascii="Calibri" w:eastAsia="Times New Roman" w:hAnsi="Calibri" w:cs="Calibri"/>
                <w:color w:val="000000"/>
                <w:sz w:val="16"/>
                <w:szCs w:val="16"/>
              </w:rPr>
              <w:t>Byr</w:t>
            </w:r>
            <w:proofErr w:type="spellEnd"/>
            <w:r w:rsidR="00587439" w:rsidRPr="00587439">
              <w:rPr>
                <w:rFonts w:ascii="Calibri" w:eastAsia="Times New Roman" w:hAnsi="Calibri" w:cs="Calibri"/>
                <w:color w:val="000000"/>
                <w:sz w:val="16"/>
                <w:szCs w:val="16"/>
              </w:rPr>
              <w:t xml:space="preserve"> - 2015; GV - 2016</w:t>
            </w:r>
          </w:p>
        </w:tc>
        <w:tc>
          <w:tcPr>
            <w:tcW w:w="2380" w:type="dxa"/>
            <w:noWrap/>
            <w:hideMark/>
          </w:tcPr>
          <w:p w14:paraId="03BF64AB"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3726 (- .2%)</w:t>
            </w:r>
          </w:p>
        </w:tc>
        <w:tc>
          <w:tcPr>
            <w:tcW w:w="2340" w:type="dxa"/>
            <w:noWrap/>
            <w:hideMark/>
          </w:tcPr>
          <w:p w14:paraId="6085B7A1"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5404 (+ 9.97%)</w:t>
            </w:r>
          </w:p>
        </w:tc>
        <w:tc>
          <w:tcPr>
            <w:tcW w:w="2245" w:type="dxa"/>
            <w:noWrap/>
            <w:hideMark/>
          </w:tcPr>
          <w:p w14:paraId="04E28E95"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4036 (0%)</w:t>
            </w:r>
          </w:p>
        </w:tc>
      </w:tr>
      <w:tr w:rsidR="00587439" w:rsidRPr="00587439" w14:paraId="4EAAADEF" w14:textId="77777777" w:rsidTr="0026526E">
        <w:trPr>
          <w:trHeight w:val="290"/>
        </w:trPr>
        <w:tc>
          <w:tcPr>
            <w:tcW w:w="2385" w:type="dxa"/>
            <w:noWrap/>
            <w:hideMark/>
          </w:tcPr>
          <w:p w14:paraId="349F14FB" w14:textId="77777777" w:rsidR="00587439" w:rsidRPr="00587439" w:rsidRDefault="00587439" w:rsidP="00587439">
            <w:pPr>
              <w:rPr>
                <w:rFonts w:ascii="Calibri" w:eastAsia="Times New Roman" w:hAnsi="Calibri" w:cs="Calibri"/>
                <w:b/>
                <w:bCs/>
                <w:color w:val="000000"/>
                <w:sz w:val="16"/>
                <w:szCs w:val="16"/>
              </w:rPr>
            </w:pPr>
            <w:r w:rsidRPr="00587439">
              <w:rPr>
                <w:rFonts w:ascii="Calibri" w:eastAsia="Times New Roman" w:hAnsi="Calibri" w:cs="Calibri"/>
                <w:b/>
                <w:bCs/>
                <w:color w:val="000000"/>
                <w:sz w:val="16"/>
                <w:szCs w:val="16"/>
              </w:rPr>
              <w:t>Financial Health</w:t>
            </w:r>
          </w:p>
        </w:tc>
        <w:tc>
          <w:tcPr>
            <w:tcW w:w="2380" w:type="dxa"/>
            <w:noWrap/>
            <w:hideMark/>
          </w:tcPr>
          <w:p w14:paraId="55F4BA93"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340" w:type="dxa"/>
            <w:noWrap/>
            <w:hideMark/>
          </w:tcPr>
          <w:p w14:paraId="28A67EA2"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245" w:type="dxa"/>
            <w:noWrap/>
            <w:hideMark/>
          </w:tcPr>
          <w:p w14:paraId="1654CF8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r>
      <w:tr w:rsidR="00587439" w:rsidRPr="00587439" w14:paraId="2B766FCE" w14:textId="77777777" w:rsidTr="0026526E">
        <w:trPr>
          <w:trHeight w:val="290"/>
        </w:trPr>
        <w:tc>
          <w:tcPr>
            <w:tcW w:w="2385" w:type="dxa"/>
            <w:noWrap/>
            <w:hideMark/>
          </w:tcPr>
          <w:p w14:paraId="04DF8AA3"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predictable revenue streams</w:t>
            </w:r>
          </w:p>
        </w:tc>
        <w:tc>
          <w:tcPr>
            <w:tcW w:w="2380" w:type="dxa"/>
            <w:noWrap/>
            <w:hideMark/>
          </w:tcPr>
          <w:p w14:paraId="0ED63668"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prop tax: 39%; grants: 35%; charges: 10%</w:t>
            </w:r>
          </w:p>
        </w:tc>
        <w:tc>
          <w:tcPr>
            <w:tcW w:w="2340" w:type="dxa"/>
            <w:noWrap/>
            <w:hideMark/>
          </w:tcPr>
          <w:p w14:paraId="4AF1E72F"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Prop tax: 72.5%; charges: 13.3%; grants (unrestricted) 6.3%</w:t>
            </w:r>
          </w:p>
        </w:tc>
        <w:tc>
          <w:tcPr>
            <w:tcW w:w="2245" w:type="dxa"/>
            <w:noWrap/>
            <w:hideMark/>
          </w:tcPr>
          <w:p w14:paraId="3D3EC0C7" w14:textId="0618848E"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predictable reve</w:t>
            </w:r>
            <w:r w:rsidR="0026526E">
              <w:rPr>
                <w:rFonts w:ascii="Calibri" w:eastAsia="Times New Roman" w:hAnsi="Calibri" w:cs="Calibri"/>
                <w:color w:val="000000"/>
                <w:sz w:val="16"/>
                <w:szCs w:val="16"/>
              </w:rPr>
              <w:t>n</w:t>
            </w:r>
            <w:r w:rsidRPr="00587439">
              <w:rPr>
                <w:rFonts w:ascii="Calibri" w:eastAsia="Times New Roman" w:hAnsi="Calibri" w:cs="Calibri"/>
                <w:color w:val="000000"/>
                <w:sz w:val="16"/>
                <w:szCs w:val="16"/>
              </w:rPr>
              <w:t>ue streams over time from property taxes and assessed values (pg. 82)</w:t>
            </w:r>
          </w:p>
        </w:tc>
      </w:tr>
      <w:tr w:rsidR="00587439" w:rsidRPr="00587439" w14:paraId="6AA2AAAD" w14:textId="77777777" w:rsidTr="0026526E">
        <w:trPr>
          <w:trHeight w:val="290"/>
        </w:trPr>
        <w:tc>
          <w:tcPr>
            <w:tcW w:w="2385" w:type="dxa"/>
            <w:noWrap/>
            <w:hideMark/>
          </w:tcPr>
          <w:p w14:paraId="79ABFFAF"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reserve/general fund balance levels</w:t>
            </w:r>
          </w:p>
        </w:tc>
        <w:tc>
          <w:tcPr>
            <w:tcW w:w="2380" w:type="dxa"/>
            <w:noWrap/>
            <w:hideMark/>
          </w:tcPr>
          <w:p w14:paraId="567CD236"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$777,754 (2017) (pg. 19)</w:t>
            </w:r>
          </w:p>
        </w:tc>
        <w:tc>
          <w:tcPr>
            <w:tcW w:w="2340" w:type="dxa"/>
            <w:noWrap/>
            <w:hideMark/>
          </w:tcPr>
          <w:p w14:paraId="0D99425A" w14:textId="75A1EB50"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$ 1,049,857 (pg</w:t>
            </w:r>
            <w:r w:rsidR="0026526E">
              <w:rPr>
                <w:rFonts w:ascii="Calibri" w:eastAsia="Times New Roman" w:hAnsi="Calibri" w:cs="Calibri"/>
                <w:color w:val="000000"/>
                <w:sz w:val="16"/>
                <w:szCs w:val="16"/>
              </w:rPr>
              <w:t>.</w:t>
            </w:r>
            <w:r w:rsidRPr="00587439">
              <w:rPr>
                <w:rFonts w:ascii="Calibri" w:eastAsia="Times New Roman" w:hAnsi="Calibri" w:cs="Calibri"/>
                <w:color w:val="000000"/>
                <w:sz w:val="16"/>
                <w:szCs w:val="16"/>
              </w:rPr>
              <w:t xml:space="preserve"> 80)</w:t>
            </w:r>
          </w:p>
        </w:tc>
        <w:tc>
          <w:tcPr>
            <w:tcW w:w="2245" w:type="dxa"/>
            <w:noWrap/>
            <w:hideMark/>
          </w:tcPr>
          <w:p w14:paraId="4B933D47"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Recently stabilized w/ population growth stagnant (pg. 29) </w:t>
            </w:r>
          </w:p>
        </w:tc>
      </w:tr>
      <w:tr w:rsidR="00587439" w:rsidRPr="00587439" w14:paraId="2043B7D2" w14:textId="77777777" w:rsidTr="0026526E">
        <w:trPr>
          <w:trHeight w:val="290"/>
        </w:trPr>
        <w:tc>
          <w:tcPr>
            <w:tcW w:w="2385" w:type="dxa"/>
            <w:noWrap/>
            <w:hideMark/>
          </w:tcPr>
          <w:p w14:paraId="7D7A9F89"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concentration of key taxpayers</w:t>
            </w:r>
          </w:p>
        </w:tc>
        <w:tc>
          <w:tcPr>
            <w:tcW w:w="2380" w:type="dxa"/>
            <w:noWrap/>
            <w:hideMark/>
          </w:tcPr>
          <w:p w14:paraId="6447522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mostly </w:t>
            </w:r>
            <w:proofErr w:type="spellStart"/>
            <w:r w:rsidRPr="00587439">
              <w:rPr>
                <w:rFonts w:ascii="Calibri" w:eastAsia="Times New Roman" w:hAnsi="Calibri" w:cs="Calibri"/>
                <w:color w:val="000000"/>
                <w:sz w:val="16"/>
                <w:szCs w:val="16"/>
              </w:rPr>
              <w:t>llc</w:t>
            </w:r>
            <w:proofErr w:type="spellEnd"/>
            <w:r w:rsidRPr="00587439">
              <w:rPr>
                <w:rFonts w:ascii="Calibri" w:eastAsia="Times New Roman" w:hAnsi="Calibri" w:cs="Calibri"/>
                <w:color w:val="000000"/>
                <w:sz w:val="16"/>
                <w:szCs w:val="16"/>
              </w:rPr>
              <w:t xml:space="preserve"> property owners; 8% of tax capacity (pg. 26)</w:t>
            </w:r>
          </w:p>
        </w:tc>
        <w:tc>
          <w:tcPr>
            <w:tcW w:w="2340" w:type="dxa"/>
            <w:noWrap/>
            <w:hideMark/>
          </w:tcPr>
          <w:p w14:paraId="1F27F7C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top ten largest taxpayers comprised approximately 11.12% of </w:t>
            </w:r>
          </w:p>
        </w:tc>
        <w:tc>
          <w:tcPr>
            <w:tcW w:w="2245" w:type="dxa"/>
            <w:noWrap/>
            <w:hideMark/>
          </w:tcPr>
          <w:p w14:paraId="5B59D4C0"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General fund balance consistently growing (pg. 29)</w:t>
            </w:r>
          </w:p>
        </w:tc>
      </w:tr>
      <w:tr w:rsidR="00587439" w:rsidRPr="00587439" w14:paraId="4B99DC89" w14:textId="77777777" w:rsidTr="0026526E">
        <w:trPr>
          <w:trHeight w:val="290"/>
        </w:trPr>
        <w:tc>
          <w:tcPr>
            <w:tcW w:w="2385" w:type="dxa"/>
            <w:noWrap/>
            <w:hideMark/>
          </w:tcPr>
          <w:p w14:paraId="60EFC69C" w14:textId="77777777" w:rsidR="00587439" w:rsidRPr="00587439" w:rsidRDefault="00587439" w:rsidP="00587439">
            <w:pPr>
              <w:rPr>
                <w:rFonts w:ascii="Calibri" w:eastAsia="Times New Roman" w:hAnsi="Calibri" w:cs="Calibri"/>
                <w:color w:val="000000"/>
                <w:sz w:val="16"/>
                <w:szCs w:val="16"/>
              </w:rPr>
            </w:pPr>
          </w:p>
        </w:tc>
        <w:tc>
          <w:tcPr>
            <w:tcW w:w="2380" w:type="dxa"/>
            <w:noWrap/>
            <w:hideMark/>
          </w:tcPr>
          <w:p w14:paraId="69A327E9" w14:textId="77777777" w:rsidR="00587439" w:rsidRPr="00587439" w:rsidRDefault="00587439" w:rsidP="00587439">
            <w:pPr>
              <w:rPr>
                <w:rFonts w:ascii="Times New Roman" w:eastAsia="Times New Roman" w:hAnsi="Times New Roman" w:cs="Times New Roman"/>
                <w:sz w:val="16"/>
                <w:szCs w:val="16"/>
              </w:rPr>
            </w:pPr>
          </w:p>
        </w:tc>
        <w:tc>
          <w:tcPr>
            <w:tcW w:w="2340" w:type="dxa"/>
            <w:noWrap/>
            <w:hideMark/>
          </w:tcPr>
          <w:p w14:paraId="333EFC4C" w14:textId="5FCD50F3"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tax capacity; very diverse sources (pg</w:t>
            </w:r>
            <w:r w:rsidR="0026526E">
              <w:rPr>
                <w:rFonts w:ascii="Calibri" w:eastAsia="Times New Roman" w:hAnsi="Calibri" w:cs="Calibri"/>
                <w:color w:val="000000"/>
                <w:sz w:val="16"/>
                <w:szCs w:val="16"/>
              </w:rPr>
              <w:t>.</w:t>
            </w:r>
            <w:r w:rsidRPr="00587439">
              <w:rPr>
                <w:rFonts w:ascii="Calibri" w:eastAsia="Times New Roman" w:hAnsi="Calibri" w:cs="Calibri"/>
                <w:color w:val="000000"/>
                <w:sz w:val="16"/>
                <w:szCs w:val="16"/>
              </w:rPr>
              <w:t xml:space="preserve"> 22)</w:t>
            </w:r>
          </w:p>
        </w:tc>
        <w:tc>
          <w:tcPr>
            <w:tcW w:w="2245" w:type="dxa"/>
            <w:noWrap/>
            <w:hideMark/>
          </w:tcPr>
          <w:p w14:paraId="1261C39B"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diverse employers and strong property tax base (pg. 29, 30)</w:t>
            </w:r>
          </w:p>
        </w:tc>
      </w:tr>
      <w:tr w:rsidR="00587439" w:rsidRPr="00587439" w14:paraId="3779986E" w14:textId="77777777" w:rsidTr="0026526E">
        <w:trPr>
          <w:trHeight w:val="290"/>
        </w:trPr>
        <w:tc>
          <w:tcPr>
            <w:tcW w:w="2385" w:type="dxa"/>
            <w:noWrap/>
            <w:hideMark/>
          </w:tcPr>
          <w:p w14:paraId="68AE5BB1"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pensions and OPEB liabilities</w:t>
            </w:r>
          </w:p>
        </w:tc>
        <w:tc>
          <w:tcPr>
            <w:tcW w:w="2380" w:type="dxa"/>
            <w:noWrap/>
            <w:hideMark/>
          </w:tcPr>
          <w:p w14:paraId="0400930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PERA (2017 - $105,439; net $1,185,859) (pg. 69, 128)</w:t>
            </w:r>
          </w:p>
        </w:tc>
        <w:tc>
          <w:tcPr>
            <w:tcW w:w="2340" w:type="dxa"/>
            <w:noWrap/>
            <w:hideMark/>
          </w:tcPr>
          <w:p w14:paraId="25156BCE"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GERF: (total: $624,752); 2019: $66,115. NO OPEB.</w:t>
            </w:r>
          </w:p>
        </w:tc>
        <w:tc>
          <w:tcPr>
            <w:tcW w:w="2245" w:type="dxa"/>
            <w:noWrap/>
            <w:hideMark/>
          </w:tcPr>
          <w:p w14:paraId="41D585C4"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minimal obligations (pg. 26)</w:t>
            </w:r>
          </w:p>
        </w:tc>
      </w:tr>
      <w:tr w:rsidR="00587439" w:rsidRPr="00587439" w14:paraId="656D0339" w14:textId="77777777" w:rsidTr="0026526E">
        <w:trPr>
          <w:trHeight w:val="290"/>
        </w:trPr>
        <w:tc>
          <w:tcPr>
            <w:tcW w:w="2385" w:type="dxa"/>
            <w:noWrap/>
            <w:hideMark/>
          </w:tcPr>
          <w:p w14:paraId="4ED980D6"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past short-term borrowing</w:t>
            </w:r>
          </w:p>
        </w:tc>
        <w:tc>
          <w:tcPr>
            <w:tcW w:w="2380" w:type="dxa"/>
            <w:noWrap/>
            <w:hideMark/>
          </w:tcPr>
          <w:p w14:paraId="09307986"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street reconstruction (2011/18) &amp; public safety building (2015) (pg. 13)</w:t>
            </w:r>
          </w:p>
        </w:tc>
        <w:tc>
          <w:tcPr>
            <w:tcW w:w="2340" w:type="dxa"/>
            <w:noWrap/>
            <w:hideMark/>
          </w:tcPr>
          <w:p w14:paraId="23B2ACC0"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2011/2016 - improvement bonds; 2018 public works building</w:t>
            </w:r>
          </w:p>
        </w:tc>
        <w:tc>
          <w:tcPr>
            <w:tcW w:w="2245" w:type="dxa"/>
            <w:noWrap/>
            <w:hideMark/>
          </w:tcPr>
          <w:p w14:paraId="1899F587"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total GO debt $5,749,000 (pg. 17)</w:t>
            </w:r>
          </w:p>
        </w:tc>
      </w:tr>
      <w:tr w:rsidR="00587439" w:rsidRPr="00587439" w14:paraId="3592FB79" w14:textId="77777777" w:rsidTr="0026526E">
        <w:trPr>
          <w:trHeight w:val="290"/>
        </w:trPr>
        <w:tc>
          <w:tcPr>
            <w:tcW w:w="2385" w:type="dxa"/>
            <w:noWrap/>
            <w:hideMark/>
          </w:tcPr>
          <w:p w14:paraId="222190F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380" w:type="dxa"/>
            <w:noWrap/>
            <w:hideMark/>
          </w:tcPr>
          <w:p w14:paraId="7CC3968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street reconstruction/public safety refunding portion (2011)</w:t>
            </w:r>
          </w:p>
        </w:tc>
        <w:tc>
          <w:tcPr>
            <w:tcW w:w="2340" w:type="dxa"/>
            <w:noWrap/>
            <w:hideMark/>
          </w:tcPr>
          <w:p w14:paraId="76733686"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245" w:type="dxa"/>
            <w:noWrap/>
            <w:hideMark/>
          </w:tcPr>
          <w:p w14:paraId="3CFF9F67"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r>
      <w:tr w:rsidR="00587439" w:rsidRPr="00587439" w14:paraId="30E03B11" w14:textId="77777777" w:rsidTr="0026526E">
        <w:trPr>
          <w:trHeight w:val="290"/>
        </w:trPr>
        <w:tc>
          <w:tcPr>
            <w:tcW w:w="2385" w:type="dxa"/>
            <w:noWrap/>
            <w:hideMark/>
          </w:tcPr>
          <w:p w14:paraId="62C62E9E"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380" w:type="dxa"/>
            <w:noWrap/>
            <w:hideMark/>
          </w:tcPr>
          <w:p w14:paraId="67F73F2F"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equipment lease (2012/16/17)</w:t>
            </w:r>
          </w:p>
        </w:tc>
        <w:tc>
          <w:tcPr>
            <w:tcW w:w="2340" w:type="dxa"/>
            <w:noWrap/>
            <w:hideMark/>
          </w:tcPr>
          <w:p w14:paraId="133FDB7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245" w:type="dxa"/>
            <w:noWrap/>
            <w:hideMark/>
          </w:tcPr>
          <w:p w14:paraId="13D36BEE"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r>
      <w:tr w:rsidR="00587439" w:rsidRPr="00587439" w14:paraId="12D81689" w14:textId="77777777" w:rsidTr="0026526E">
        <w:trPr>
          <w:trHeight w:val="290"/>
        </w:trPr>
        <w:tc>
          <w:tcPr>
            <w:tcW w:w="2385" w:type="dxa"/>
            <w:noWrap/>
            <w:hideMark/>
          </w:tcPr>
          <w:p w14:paraId="2546B818" w14:textId="77777777" w:rsidR="00587439" w:rsidRPr="00587439" w:rsidRDefault="00587439" w:rsidP="00587439">
            <w:pPr>
              <w:rPr>
                <w:rFonts w:ascii="Calibri" w:eastAsia="Times New Roman" w:hAnsi="Calibri" w:cs="Calibri"/>
                <w:b/>
                <w:bCs/>
                <w:color w:val="000000"/>
                <w:sz w:val="16"/>
                <w:szCs w:val="16"/>
              </w:rPr>
            </w:pPr>
            <w:r w:rsidRPr="00587439">
              <w:rPr>
                <w:rFonts w:ascii="Calibri" w:eastAsia="Times New Roman" w:hAnsi="Calibri" w:cs="Calibri"/>
                <w:b/>
                <w:bCs/>
                <w:color w:val="000000"/>
                <w:sz w:val="16"/>
                <w:szCs w:val="16"/>
              </w:rPr>
              <w:t>Debt Levels</w:t>
            </w:r>
          </w:p>
        </w:tc>
        <w:tc>
          <w:tcPr>
            <w:tcW w:w="2380" w:type="dxa"/>
            <w:noWrap/>
            <w:hideMark/>
          </w:tcPr>
          <w:p w14:paraId="25113E0C"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Section 475.53: limited to net debt </w:t>
            </w:r>
            <w:proofErr w:type="gramStart"/>
            <w:r w:rsidRPr="00587439">
              <w:rPr>
                <w:rFonts w:ascii="Calibri" w:eastAsia="Times New Roman" w:hAnsi="Calibri" w:cs="Calibri"/>
                <w:color w:val="000000"/>
                <w:sz w:val="16"/>
                <w:szCs w:val="16"/>
              </w:rPr>
              <w:t>in excess of</w:t>
            </w:r>
            <w:proofErr w:type="gramEnd"/>
            <w:r w:rsidRPr="00587439">
              <w:rPr>
                <w:rFonts w:ascii="Calibri" w:eastAsia="Times New Roman" w:hAnsi="Calibri" w:cs="Calibri"/>
                <w:color w:val="000000"/>
                <w:sz w:val="16"/>
                <w:szCs w:val="16"/>
              </w:rPr>
              <w:t xml:space="preserve"> 3% of its estimated market value</w:t>
            </w:r>
          </w:p>
        </w:tc>
        <w:tc>
          <w:tcPr>
            <w:tcW w:w="2340" w:type="dxa"/>
            <w:noWrap/>
            <w:hideMark/>
          </w:tcPr>
          <w:p w14:paraId="21861738"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Section 475.53: limited to net debt </w:t>
            </w:r>
            <w:proofErr w:type="gramStart"/>
            <w:r w:rsidRPr="00587439">
              <w:rPr>
                <w:rFonts w:ascii="Calibri" w:eastAsia="Times New Roman" w:hAnsi="Calibri" w:cs="Calibri"/>
                <w:color w:val="000000"/>
                <w:sz w:val="16"/>
                <w:szCs w:val="16"/>
              </w:rPr>
              <w:t>in excess of</w:t>
            </w:r>
            <w:proofErr w:type="gramEnd"/>
            <w:r w:rsidRPr="00587439">
              <w:rPr>
                <w:rFonts w:ascii="Calibri" w:eastAsia="Times New Roman" w:hAnsi="Calibri" w:cs="Calibri"/>
                <w:color w:val="000000"/>
                <w:sz w:val="16"/>
                <w:szCs w:val="16"/>
              </w:rPr>
              <w:t xml:space="preserve"> 3% of its estimated market value</w:t>
            </w:r>
          </w:p>
        </w:tc>
        <w:tc>
          <w:tcPr>
            <w:tcW w:w="2245" w:type="dxa"/>
            <w:noWrap/>
            <w:hideMark/>
          </w:tcPr>
          <w:p w14:paraId="3035966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Section 475.53: limited to net debt </w:t>
            </w:r>
            <w:proofErr w:type="gramStart"/>
            <w:r w:rsidRPr="00587439">
              <w:rPr>
                <w:rFonts w:ascii="Calibri" w:eastAsia="Times New Roman" w:hAnsi="Calibri" w:cs="Calibri"/>
                <w:color w:val="000000"/>
                <w:sz w:val="16"/>
                <w:szCs w:val="16"/>
              </w:rPr>
              <w:t>in excess of</w:t>
            </w:r>
            <w:proofErr w:type="gramEnd"/>
            <w:r w:rsidRPr="00587439">
              <w:rPr>
                <w:rFonts w:ascii="Calibri" w:eastAsia="Times New Roman" w:hAnsi="Calibri" w:cs="Calibri"/>
                <w:color w:val="000000"/>
                <w:sz w:val="16"/>
                <w:szCs w:val="16"/>
              </w:rPr>
              <w:t xml:space="preserve"> 3% of its estimated market value</w:t>
            </w:r>
          </w:p>
        </w:tc>
      </w:tr>
      <w:tr w:rsidR="00587439" w:rsidRPr="00587439" w14:paraId="2CF0681F" w14:textId="77777777" w:rsidTr="0026526E">
        <w:trPr>
          <w:trHeight w:val="290"/>
        </w:trPr>
        <w:tc>
          <w:tcPr>
            <w:tcW w:w="2385" w:type="dxa"/>
            <w:noWrap/>
            <w:hideMark/>
          </w:tcPr>
          <w:p w14:paraId="06E537D3"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Debt to assessed value</w:t>
            </w:r>
          </w:p>
        </w:tc>
        <w:tc>
          <w:tcPr>
            <w:tcW w:w="2380" w:type="dxa"/>
            <w:noWrap/>
            <w:hideMark/>
          </w:tcPr>
          <w:p w14:paraId="229B5A05"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2.78% ($7,614,777/$274,295,374) (pg. 14)</w:t>
            </w:r>
          </w:p>
        </w:tc>
        <w:tc>
          <w:tcPr>
            <w:tcW w:w="2340" w:type="dxa"/>
            <w:noWrap/>
            <w:hideMark/>
          </w:tcPr>
          <w:p w14:paraId="3CD9266B" w14:textId="62A761E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1.57% (pg</w:t>
            </w:r>
            <w:r w:rsidR="0026526E">
              <w:rPr>
                <w:rFonts w:ascii="Calibri" w:eastAsia="Times New Roman" w:hAnsi="Calibri" w:cs="Calibri"/>
                <w:color w:val="000000"/>
                <w:sz w:val="16"/>
                <w:szCs w:val="16"/>
              </w:rPr>
              <w:t>.</w:t>
            </w:r>
            <w:r w:rsidRPr="00587439">
              <w:rPr>
                <w:rFonts w:ascii="Calibri" w:eastAsia="Times New Roman" w:hAnsi="Calibri" w:cs="Calibri"/>
                <w:color w:val="000000"/>
                <w:sz w:val="16"/>
                <w:szCs w:val="16"/>
              </w:rPr>
              <w:t xml:space="preserve"> 29)</w:t>
            </w:r>
          </w:p>
        </w:tc>
        <w:tc>
          <w:tcPr>
            <w:tcW w:w="2245" w:type="dxa"/>
            <w:noWrap/>
            <w:hideMark/>
          </w:tcPr>
          <w:p w14:paraId="71A39DF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1.39% (23)</w:t>
            </w:r>
          </w:p>
        </w:tc>
      </w:tr>
      <w:tr w:rsidR="00587439" w:rsidRPr="00587439" w14:paraId="68AD8367" w14:textId="77777777" w:rsidTr="0026526E">
        <w:trPr>
          <w:trHeight w:val="290"/>
        </w:trPr>
        <w:tc>
          <w:tcPr>
            <w:tcW w:w="2385" w:type="dxa"/>
            <w:noWrap/>
            <w:hideMark/>
          </w:tcPr>
          <w:p w14:paraId="1DD7411C"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 xml:space="preserve">Debt to personal income </w:t>
            </w:r>
          </w:p>
        </w:tc>
        <w:tc>
          <w:tcPr>
            <w:tcW w:w="2380" w:type="dxa"/>
            <w:noWrap/>
            <w:hideMark/>
          </w:tcPr>
          <w:p w14:paraId="65E98C76"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debt ratio per capita: $2,044</w:t>
            </w:r>
          </w:p>
        </w:tc>
        <w:tc>
          <w:tcPr>
            <w:tcW w:w="2340" w:type="dxa"/>
            <w:noWrap/>
            <w:hideMark/>
          </w:tcPr>
          <w:p w14:paraId="4BBE7B0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debt ratio per capita: $2,052</w:t>
            </w:r>
          </w:p>
        </w:tc>
        <w:tc>
          <w:tcPr>
            <w:tcW w:w="2245" w:type="dxa"/>
            <w:noWrap/>
            <w:hideMark/>
          </w:tcPr>
          <w:p w14:paraId="6582DEE2"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debt ratio per capita: $1,051</w:t>
            </w:r>
          </w:p>
        </w:tc>
      </w:tr>
      <w:tr w:rsidR="00587439" w:rsidRPr="00587439" w14:paraId="0961966B" w14:textId="77777777" w:rsidTr="0026526E">
        <w:trPr>
          <w:trHeight w:val="290"/>
        </w:trPr>
        <w:tc>
          <w:tcPr>
            <w:tcW w:w="2385" w:type="dxa"/>
            <w:noWrap/>
            <w:hideMark/>
          </w:tcPr>
          <w:p w14:paraId="6396F78F"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Debt service expenditures</w:t>
            </w:r>
          </w:p>
        </w:tc>
        <w:tc>
          <w:tcPr>
            <w:tcW w:w="2380" w:type="dxa"/>
            <w:noWrap/>
            <w:hideMark/>
          </w:tcPr>
          <w:p w14:paraId="31A40D6E"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approx. $168,796 (pg. 113)</w:t>
            </w:r>
          </w:p>
        </w:tc>
        <w:tc>
          <w:tcPr>
            <w:tcW w:w="2340" w:type="dxa"/>
            <w:noWrap/>
            <w:hideMark/>
          </w:tcPr>
          <w:p w14:paraId="7DA3FEB0" w14:textId="4A63BCC6"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$72,953 in 2019 (pg</w:t>
            </w:r>
            <w:r w:rsidR="0026526E">
              <w:rPr>
                <w:rFonts w:ascii="Calibri" w:eastAsia="Times New Roman" w:hAnsi="Calibri" w:cs="Calibri"/>
                <w:color w:val="000000"/>
                <w:sz w:val="16"/>
                <w:szCs w:val="16"/>
              </w:rPr>
              <w:t>.</w:t>
            </w:r>
            <w:r w:rsidRPr="00587439">
              <w:rPr>
                <w:rFonts w:ascii="Calibri" w:eastAsia="Times New Roman" w:hAnsi="Calibri" w:cs="Calibri"/>
                <w:color w:val="000000"/>
                <w:sz w:val="16"/>
                <w:szCs w:val="16"/>
              </w:rPr>
              <w:t xml:space="preserve"> 132)</w:t>
            </w:r>
          </w:p>
        </w:tc>
        <w:tc>
          <w:tcPr>
            <w:tcW w:w="2245" w:type="dxa"/>
            <w:noWrap/>
            <w:hideMark/>
          </w:tcPr>
          <w:p w14:paraId="176E9BF4"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$52,498 in 2016 (pg. 87)</w:t>
            </w:r>
          </w:p>
        </w:tc>
      </w:tr>
      <w:tr w:rsidR="00587439" w:rsidRPr="00587439" w14:paraId="30F9198E" w14:textId="77777777" w:rsidTr="0026526E">
        <w:trPr>
          <w:trHeight w:val="290"/>
        </w:trPr>
        <w:tc>
          <w:tcPr>
            <w:tcW w:w="2385" w:type="dxa"/>
            <w:noWrap/>
            <w:hideMark/>
          </w:tcPr>
          <w:p w14:paraId="7FD431E0" w14:textId="678A2588" w:rsidR="00587439" w:rsidRPr="00587439" w:rsidRDefault="00587439" w:rsidP="00587439">
            <w:pPr>
              <w:rPr>
                <w:rFonts w:ascii="Calibri" w:eastAsia="Times New Roman" w:hAnsi="Calibri" w:cs="Calibri"/>
                <w:b/>
                <w:bCs/>
                <w:color w:val="000000"/>
                <w:sz w:val="16"/>
                <w:szCs w:val="16"/>
              </w:rPr>
            </w:pPr>
            <w:r w:rsidRPr="00587439">
              <w:rPr>
                <w:rFonts w:ascii="Calibri" w:eastAsia="Times New Roman" w:hAnsi="Calibri" w:cs="Calibri"/>
                <w:b/>
                <w:bCs/>
                <w:color w:val="000000"/>
                <w:sz w:val="16"/>
                <w:szCs w:val="16"/>
              </w:rPr>
              <w:t>M</w:t>
            </w:r>
            <w:r w:rsidRPr="00587439">
              <w:rPr>
                <w:rFonts w:ascii="Calibri" w:eastAsia="Times New Roman" w:hAnsi="Calibri" w:cs="Calibri"/>
                <w:b/>
                <w:bCs/>
                <w:color w:val="000000"/>
                <w:sz w:val="16"/>
                <w:szCs w:val="16"/>
              </w:rPr>
              <w:t xml:space="preserve">anagement </w:t>
            </w:r>
            <w:r w:rsidRPr="00587439">
              <w:rPr>
                <w:rFonts w:ascii="Calibri" w:eastAsia="Times New Roman" w:hAnsi="Calibri" w:cs="Calibri"/>
                <w:b/>
                <w:bCs/>
                <w:color w:val="000000"/>
                <w:sz w:val="16"/>
                <w:szCs w:val="16"/>
              </w:rPr>
              <w:t>Policies &amp; Practices</w:t>
            </w:r>
          </w:p>
        </w:tc>
        <w:tc>
          <w:tcPr>
            <w:tcW w:w="2380" w:type="dxa"/>
            <w:noWrap/>
            <w:hideMark/>
          </w:tcPr>
          <w:p w14:paraId="0A8A689F"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340" w:type="dxa"/>
            <w:noWrap/>
            <w:hideMark/>
          </w:tcPr>
          <w:p w14:paraId="7ADC542E"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245" w:type="dxa"/>
            <w:noWrap/>
            <w:hideMark/>
          </w:tcPr>
          <w:p w14:paraId="7196604B"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r>
      <w:tr w:rsidR="00587439" w:rsidRPr="00587439" w14:paraId="2EA1ECB4" w14:textId="77777777" w:rsidTr="0026526E">
        <w:trPr>
          <w:trHeight w:val="290"/>
        </w:trPr>
        <w:tc>
          <w:tcPr>
            <w:tcW w:w="2385" w:type="dxa"/>
            <w:noWrap/>
            <w:hideMark/>
          </w:tcPr>
          <w:p w14:paraId="5F561D3F"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Reserve fund policies</w:t>
            </w:r>
          </w:p>
        </w:tc>
        <w:tc>
          <w:tcPr>
            <w:tcW w:w="2380" w:type="dxa"/>
            <w:noWrap/>
            <w:hideMark/>
          </w:tcPr>
          <w:p w14:paraId="05ACF0B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Relies on LGA for 64% of GF revenues</w:t>
            </w:r>
          </w:p>
        </w:tc>
        <w:tc>
          <w:tcPr>
            <w:tcW w:w="2340" w:type="dxa"/>
            <w:noWrap/>
            <w:hideMark/>
          </w:tcPr>
          <w:p w14:paraId="569BC631" w14:textId="039475B2"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Consistent surplus; budget calls for</w:t>
            </w:r>
            <w:r>
              <w:rPr>
                <w:rFonts w:ascii="Calibri" w:eastAsia="Times New Roman" w:hAnsi="Calibri" w:cs="Calibri"/>
                <w:color w:val="000000"/>
                <w:sz w:val="16"/>
                <w:szCs w:val="16"/>
              </w:rPr>
              <w:t xml:space="preserve"> </w:t>
            </w:r>
            <w:r w:rsidRPr="00587439">
              <w:rPr>
                <w:rFonts w:ascii="Calibri" w:eastAsia="Times New Roman" w:hAnsi="Calibri" w:cs="Calibri"/>
                <w:color w:val="000000"/>
                <w:sz w:val="16"/>
                <w:szCs w:val="16"/>
              </w:rPr>
              <w:t>revenues</w:t>
            </w:r>
            <w:r>
              <w:rPr>
                <w:rFonts w:ascii="Calibri" w:eastAsia="Times New Roman" w:hAnsi="Calibri" w:cs="Calibri"/>
                <w:color w:val="000000"/>
                <w:sz w:val="16"/>
                <w:szCs w:val="16"/>
              </w:rPr>
              <w:t xml:space="preserve"> &amp; </w:t>
            </w:r>
            <w:r w:rsidRPr="00587439">
              <w:rPr>
                <w:rFonts w:ascii="Calibri" w:eastAsia="Times New Roman" w:hAnsi="Calibri" w:cs="Calibri"/>
                <w:color w:val="000000"/>
                <w:sz w:val="16"/>
                <w:szCs w:val="16"/>
              </w:rPr>
              <w:t>expenditures to be equal (pg. 57, 65)</w:t>
            </w:r>
          </w:p>
        </w:tc>
        <w:tc>
          <w:tcPr>
            <w:tcW w:w="2245" w:type="dxa"/>
            <w:noWrap/>
            <w:hideMark/>
          </w:tcPr>
          <w:p w14:paraId="310F2F9A"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Consistent surplus; smaller gains than Byron (pg. 29)</w:t>
            </w:r>
          </w:p>
        </w:tc>
      </w:tr>
      <w:tr w:rsidR="00587439" w:rsidRPr="00587439" w14:paraId="487A403C" w14:textId="77777777" w:rsidTr="0026526E">
        <w:trPr>
          <w:trHeight w:val="290"/>
        </w:trPr>
        <w:tc>
          <w:tcPr>
            <w:tcW w:w="2385" w:type="dxa"/>
            <w:noWrap/>
            <w:hideMark/>
          </w:tcPr>
          <w:p w14:paraId="1502935B"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Capital improvement planning/budgeting practices</w:t>
            </w:r>
          </w:p>
        </w:tc>
        <w:tc>
          <w:tcPr>
            <w:tcW w:w="2380" w:type="dxa"/>
            <w:noWrap/>
            <w:hideMark/>
          </w:tcPr>
          <w:p w14:paraId="1EDBB4FF"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fund balance of $36,487 for 2017, total $242,379. (pp. 63, 96)</w:t>
            </w:r>
          </w:p>
        </w:tc>
        <w:tc>
          <w:tcPr>
            <w:tcW w:w="2340" w:type="dxa"/>
            <w:noWrap/>
            <w:hideMark/>
          </w:tcPr>
          <w:p w14:paraId="6DBB512F"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No plan, but no expectation of need w/in next 6 months (pg. 10)</w:t>
            </w:r>
          </w:p>
        </w:tc>
        <w:tc>
          <w:tcPr>
            <w:tcW w:w="2245" w:type="dxa"/>
            <w:noWrap/>
            <w:hideMark/>
          </w:tcPr>
          <w:p w14:paraId="46265AE8"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city has no plans for more financing w/in next 12 months (pg. 23)</w:t>
            </w:r>
          </w:p>
        </w:tc>
      </w:tr>
      <w:tr w:rsidR="00587439" w:rsidRPr="00587439" w14:paraId="28D17D8A" w14:textId="77777777" w:rsidTr="0026526E">
        <w:trPr>
          <w:trHeight w:val="290"/>
        </w:trPr>
        <w:tc>
          <w:tcPr>
            <w:tcW w:w="2385" w:type="dxa"/>
            <w:noWrap/>
            <w:hideMark/>
          </w:tcPr>
          <w:p w14:paraId="14FF225B"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revenue forecasting practices</w:t>
            </w:r>
          </w:p>
        </w:tc>
        <w:tc>
          <w:tcPr>
            <w:tcW w:w="2380" w:type="dxa"/>
            <w:noWrap/>
            <w:hideMark/>
          </w:tcPr>
          <w:p w14:paraId="1AD5A765" w14:textId="32D429FE"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auditor: provides </w:t>
            </w:r>
            <w:r w:rsidR="0026526E">
              <w:rPr>
                <w:rFonts w:ascii="Calibri" w:eastAsia="Times New Roman" w:hAnsi="Calibri" w:cs="Calibri"/>
                <w:color w:val="000000"/>
                <w:sz w:val="16"/>
                <w:szCs w:val="16"/>
              </w:rPr>
              <w:t>government</w:t>
            </w:r>
            <w:r w:rsidRPr="00587439">
              <w:rPr>
                <w:rFonts w:ascii="Calibri" w:eastAsia="Times New Roman" w:hAnsi="Calibri" w:cs="Calibri"/>
                <w:color w:val="000000"/>
                <w:sz w:val="16"/>
                <w:szCs w:val="16"/>
              </w:rPr>
              <w:t>-wide financial &amp; fund financial statements,</w:t>
            </w:r>
          </w:p>
        </w:tc>
        <w:tc>
          <w:tcPr>
            <w:tcW w:w="2340" w:type="dxa"/>
            <w:noWrap/>
            <w:hideMark/>
          </w:tcPr>
          <w:p w14:paraId="11839939" w14:textId="681B835C"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Describes budgets, rates,</w:t>
            </w:r>
            <w:r w:rsidR="0026526E">
              <w:rPr>
                <w:rFonts w:ascii="Calibri" w:eastAsia="Times New Roman" w:hAnsi="Calibri" w:cs="Calibri"/>
                <w:color w:val="000000"/>
                <w:sz w:val="16"/>
                <w:szCs w:val="16"/>
              </w:rPr>
              <w:t xml:space="preserve"> </w:t>
            </w:r>
            <w:proofErr w:type="gramStart"/>
            <w:r w:rsidRPr="00587439">
              <w:rPr>
                <w:rFonts w:ascii="Calibri" w:eastAsia="Times New Roman" w:hAnsi="Calibri" w:cs="Calibri"/>
                <w:color w:val="000000"/>
                <w:sz w:val="16"/>
                <w:szCs w:val="16"/>
              </w:rPr>
              <w:t>growth</w:t>
            </w:r>
            <w:proofErr w:type="gramEnd"/>
            <w:r w:rsidRPr="00587439">
              <w:rPr>
                <w:rFonts w:ascii="Calibri" w:eastAsia="Times New Roman" w:hAnsi="Calibri" w:cs="Calibri"/>
                <w:color w:val="000000"/>
                <w:sz w:val="16"/>
                <w:szCs w:val="16"/>
              </w:rPr>
              <w:t xml:space="preserve"> and future (pg. 67)</w:t>
            </w:r>
          </w:p>
        </w:tc>
        <w:tc>
          <w:tcPr>
            <w:tcW w:w="2245" w:type="dxa"/>
            <w:noWrap/>
            <w:hideMark/>
          </w:tcPr>
          <w:p w14:paraId="0099D6C9"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describes levy limit laws (pg. 25), general fund and previous audits of budget </w:t>
            </w:r>
          </w:p>
        </w:tc>
      </w:tr>
      <w:tr w:rsidR="00587439" w:rsidRPr="00587439" w14:paraId="30016650" w14:textId="77777777" w:rsidTr="0026526E">
        <w:trPr>
          <w:trHeight w:val="290"/>
        </w:trPr>
        <w:tc>
          <w:tcPr>
            <w:tcW w:w="2385" w:type="dxa"/>
            <w:noWrap/>
            <w:hideMark/>
          </w:tcPr>
          <w:p w14:paraId="07C9EA88"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lastRenderedPageBreak/>
              <w:t> </w:t>
            </w:r>
          </w:p>
        </w:tc>
        <w:tc>
          <w:tcPr>
            <w:tcW w:w="2380" w:type="dxa"/>
            <w:noWrap/>
            <w:hideMark/>
          </w:tcPr>
          <w:p w14:paraId="683728C0" w14:textId="30C4D936"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xml:space="preserve">with statements and schedule </w:t>
            </w:r>
            <w:r w:rsidR="0026526E">
              <w:rPr>
                <w:rFonts w:ascii="Calibri" w:eastAsia="Times New Roman" w:hAnsi="Calibri" w:cs="Calibri"/>
                <w:color w:val="000000"/>
                <w:sz w:val="16"/>
                <w:szCs w:val="16"/>
              </w:rPr>
              <w:t>(</w:t>
            </w:r>
            <w:r w:rsidRPr="00587439">
              <w:rPr>
                <w:rFonts w:ascii="Calibri" w:eastAsia="Times New Roman" w:hAnsi="Calibri" w:cs="Calibri"/>
                <w:color w:val="000000"/>
                <w:sz w:val="16"/>
                <w:szCs w:val="16"/>
              </w:rPr>
              <w:t>p</w:t>
            </w:r>
            <w:r w:rsidR="0026526E">
              <w:rPr>
                <w:rFonts w:ascii="Calibri" w:eastAsia="Times New Roman" w:hAnsi="Calibri" w:cs="Calibri"/>
                <w:color w:val="000000"/>
                <w:sz w:val="16"/>
                <w:szCs w:val="16"/>
              </w:rPr>
              <w:t>p.</w:t>
            </w:r>
            <w:r w:rsidRPr="00587439">
              <w:rPr>
                <w:rFonts w:ascii="Calibri" w:eastAsia="Times New Roman" w:hAnsi="Calibri" w:cs="Calibri"/>
                <w:color w:val="000000"/>
                <w:sz w:val="16"/>
                <w:szCs w:val="16"/>
              </w:rPr>
              <w:t xml:space="preserve"> 74/75; 132/33</w:t>
            </w:r>
            <w:r w:rsidR="0026526E">
              <w:rPr>
                <w:rFonts w:ascii="Calibri" w:eastAsia="Times New Roman" w:hAnsi="Calibri" w:cs="Calibri"/>
                <w:color w:val="000000"/>
                <w:sz w:val="16"/>
                <w:szCs w:val="16"/>
              </w:rPr>
              <w:t>)</w:t>
            </w:r>
          </w:p>
        </w:tc>
        <w:tc>
          <w:tcPr>
            <w:tcW w:w="2340" w:type="dxa"/>
            <w:noWrap/>
            <w:hideMark/>
          </w:tcPr>
          <w:p w14:paraId="27233EEE"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 </w:t>
            </w:r>
          </w:p>
        </w:tc>
        <w:tc>
          <w:tcPr>
            <w:tcW w:w="2245" w:type="dxa"/>
            <w:noWrap/>
            <w:hideMark/>
          </w:tcPr>
          <w:p w14:paraId="0E320548"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(pg. 29), but no explicit declarations</w:t>
            </w:r>
          </w:p>
        </w:tc>
      </w:tr>
      <w:tr w:rsidR="00587439" w:rsidRPr="00587439" w14:paraId="36A74F6B" w14:textId="77777777" w:rsidTr="0026526E">
        <w:trPr>
          <w:trHeight w:val="290"/>
        </w:trPr>
        <w:tc>
          <w:tcPr>
            <w:tcW w:w="2385" w:type="dxa"/>
            <w:noWrap/>
            <w:hideMark/>
          </w:tcPr>
          <w:p w14:paraId="40BEC5A8" w14:textId="77777777" w:rsidR="00587439" w:rsidRPr="00587439" w:rsidRDefault="00587439" w:rsidP="00587439">
            <w:pPr>
              <w:rPr>
                <w:rFonts w:ascii="Calibri" w:eastAsia="Times New Roman" w:hAnsi="Calibri" w:cs="Calibri"/>
                <w:i/>
                <w:iCs/>
                <w:color w:val="000000"/>
                <w:sz w:val="16"/>
                <w:szCs w:val="16"/>
              </w:rPr>
            </w:pPr>
            <w:r w:rsidRPr="00587439">
              <w:rPr>
                <w:rFonts w:ascii="Calibri" w:eastAsia="Times New Roman" w:hAnsi="Calibri" w:cs="Calibri"/>
                <w:i/>
                <w:iCs/>
                <w:color w:val="000000"/>
                <w:sz w:val="16"/>
                <w:szCs w:val="16"/>
              </w:rPr>
              <w:t>climate adaptation planning</w:t>
            </w:r>
          </w:p>
        </w:tc>
        <w:tc>
          <w:tcPr>
            <w:tcW w:w="2380" w:type="dxa"/>
            <w:noWrap/>
            <w:hideMark/>
          </w:tcPr>
          <w:p w14:paraId="71B19984"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Not explicit</w:t>
            </w:r>
          </w:p>
        </w:tc>
        <w:tc>
          <w:tcPr>
            <w:tcW w:w="2340" w:type="dxa"/>
            <w:noWrap/>
            <w:hideMark/>
          </w:tcPr>
          <w:p w14:paraId="455B54D7"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Not explicit</w:t>
            </w:r>
          </w:p>
        </w:tc>
        <w:tc>
          <w:tcPr>
            <w:tcW w:w="2245" w:type="dxa"/>
            <w:noWrap/>
            <w:hideMark/>
          </w:tcPr>
          <w:p w14:paraId="5BD2878F" w14:textId="77777777" w:rsidR="00587439" w:rsidRPr="00587439" w:rsidRDefault="00587439" w:rsidP="00587439">
            <w:pPr>
              <w:rPr>
                <w:rFonts w:ascii="Calibri" w:eastAsia="Times New Roman" w:hAnsi="Calibri" w:cs="Calibri"/>
                <w:color w:val="000000"/>
                <w:sz w:val="16"/>
                <w:szCs w:val="16"/>
              </w:rPr>
            </w:pPr>
            <w:r w:rsidRPr="00587439">
              <w:rPr>
                <w:rFonts w:ascii="Calibri" w:eastAsia="Times New Roman" w:hAnsi="Calibri" w:cs="Calibri"/>
                <w:color w:val="000000"/>
                <w:sz w:val="16"/>
                <w:szCs w:val="16"/>
              </w:rPr>
              <w:t>No explicit</w:t>
            </w:r>
          </w:p>
        </w:tc>
      </w:tr>
    </w:tbl>
    <w:p w14:paraId="2EE8D723" w14:textId="77777777" w:rsidR="00B467BE" w:rsidRPr="00BD5597" w:rsidRDefault="00B467BE">
      <w:pPr>
        <w:rPr>
          <w:rFonts w:ascii="Times New Roman" w:hAnsi="Times New Roman" w:cs="Times New Roman"/>
          <w:sz w:val="24"/>
          <w:szCs w:val="24"/>
        </w:rPr>
      </w:pPr>
    </w:p>
    <w:sectPr w:rsidR="00B467BE" w:rsidRPr="00BD55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037CC" w14:textId="77777777" w:rsidR="00FE66EA" w:rsidRDefault="00FE66EA" w:rsidP="00A00577">
      <w:pPr>
        <w:spacing w:after="0" w:line="240" w:lineRule="auto"/>
      </w:pPr>
      <w:r>
        <w:separator/>
      </w:r>
    </w:p>
  </w:endnote>
  <w:endnote w:type="continuationSeparator" w:id="0">
    <w:p w14:paraId="46D44B19" w14:textId="77777777" w:rsidR="00FE66EA" w:rsidRDefault="00FE66EA" w:rsidP="00A0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2FC29" w14:textId="77777777" w:rsidR="00FE66EA" w:rsidRDefault="00FE66EA" w:rsidP="00A00577">
      <w:pPr>
        <w:spacing w:after="0" w:line="240" w:lineRule="auto"/>
      </w:pPr>
      <w:r>
        <w:separator/>
      </w:r>
    </w:p>
  </w:footnote>
  <w:footnote w:type="continuationSeparator" w:id="0">
    <w:p w14:paraId="10CF0124" w14:textId="77777777" w:rsidR="00FE66EA" w:rsidRDefault="00FE66EA" w:rsidP="00A00577">
      <w:pPr>
        <w:spacing w:after="0" w:line="240" w:lineRule="auto"/>
      </w:pPr>
      <w:r>
        <w:continuationSeparator/>
      </w:r>
    </w:p>
  </w:footnote>
  <w:footnote w:id="1">
    <w:p w14:paraId="3314E368" w14:textId="41537980" w:rsidR="00A00577" w:rsidRDefault="00A00577">
      <w:pPr>
        <w:pStyle w:val="FootnoteText"/>
      </w:pPr>
      <w:r>
        <w:rPr>
          <w:rStyle w:val="FootnoteReference"/>
        </w:rPr>
        <w:footnoteRef/>
      </w:r>
      <w:r>
        <w:t xml:space="preserve"> </w:t>
      </w:r>
      <w:r w:rsidRPr="00A00577">
        <w:t>https://www.investopedia.com/terms/r/refundedbond.asp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8013743"/>
      <w:docPartObj>
        <w:docPartGallery w:val="Page Numbers (Top of Page)"/>
        <w:docPartUnique/>
      </w:docPartObj>
    </w:sdtPr>
    <w:sdtEndPr>
      <w:rPr>
        <w:noProof/>
      </w:rPr>
    </w:sdtEndPr>
    <w:sdtContent>
      <w:p w14:paraId="2081300C" w14:textId="48983165" w:rsidR="00073C04" w:rsidRDefault="00073C04">
        <w:pPr>
          <w:pStyle w:val="Header"/>
          <w:jc w:val="right"/>
        </w:pPr>
        <w:r>
          <w:t xml:space="preserve">Atkinson </w:t>
        </w:r>
        <w:r>
          <w:fldChar w:fldCharType="begin"/>
        </w:r>
        <w:r>
          <w:instrText xml:space="preserve"> PAGE   \* MERGEFORMAT </w:instrText>
        </w:r>
        <w:r>
          <w:fldChar w:fldCharType="separate"/>
        </w:r>
        <w:r>
          <w:rPr>
            <w:noProof/>
          </w:rPr>
          <w:t>2</w:t>
        </w:r>
        <w:r>
          <w:rPr>
            <w:noProof/>
          </w:rPr>
          <w:fldChar w:fldCharType="end"/>
        </w:r>
      </w:p>
    </w:sdtContent>
  </w:sdt>
  <w:p w14:paraId="4C48C853" w14:textId="77777777" w:rsidR="00073C04" w:rsidRDefault="00073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A5F3B"/>
    <w:multiLevelType w:val="multilevel"/>
    <w:tmpl w:val="4C4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963F9"/>
    <w:multiLevelType w:val="multilevel"/>
    <w:tmpl w:val="23C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47019"/>
    <w:multiLevelType w:val="multilevel"/>
    <w:tmpl w:val="6AA82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BE"/>
    <w:rsid w:val="000031DD"/>
    <w:rsid w:val="00073C04"/>
    <w:rsid w:val="00237B16"/>
    <w:rsid w:val="0026526E"/>
    <w:rsid w:val="002814BA"/>
    <w:rsid w:val="00295F0B"/>
    <w:rsid w:val="002D6BCD"/>
    <w:rsid w:val="00460A7F"/>
    <w:rsid w:val="004B005B"/>
    <w:rsid w:val="00563474"/>
    <w:rsid w:val="00587439"/>
    <w:rsid w:val="0063255C"/>
    <w:rsid w:val="006B73F8"/>
    <w:rsid w:val="007A7456"/>
    <w:rsid w:val="007B7823"/>
    <w:rsid w:val="008D20FE"/>
    <w:rsid w:val="009870E9"/>
    <w:rsid w:val="00A00577"/>
    <w:rsid w:val="00A273ED"/>
    <w:rsid w:val="00AD340C"/>
    <w:rsid w:val="00B242CD"/>
    <w:rsid w:val="00B467BE"/>
    <w:rsid w:val="00BD5597"/>
    <w:rsid w:val="00D23704"/>
    <w:rsid w:val="00D804F7"/>
    <w:rsid w:val="00DB7E46"/>
    <w:rsid w:val="00DD7268"/>
    <w:rsid w:val="00E4206E"/>
    <w:rsid w:val="00EA59F4"/>
    <w:rsid w:val="00EF2FA9"/>
    <w:rsid w:val="00FD214C"/>
    <w:rsid w:val="00FE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7D93"/>
  <w15:chartTrackingRefBased/>
  <w15:docId w15:val="{56D3F40A-9AB7-4836-8283-4FBA9F06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7BE"/>
    <w:rPr>
      <w:b/>
      <w:bCs/>
    </w:rPr>
  </w:style>
  <w:style w:type="character" w:customStyle="1" w:styleId="instructurefileholder">
    <w:name w:val="instructure_file_holder"/>
    <w:basedOn w:val="DefaultParagraphFont"/>
    <w:rsid w:val="00B467BE"/>
  </w:style>
  <w:style w:type="character" w:styleId="Hyperlink">
    <w:name w:val="Hyperlink"/>
    <w:basedOn w:val="DefaultParagraphFont"/>
    <w:uiPriority w:val="99"/>
    <w:semiHidden/>
    <w:unhideWhenUsed/>
    <w:rsid w:val="00B467BE"/>
    <w:rPr>
      <w:color w:val="0000FF"/>
      <w:u w:val="single"/>
    </w:rPr>
  </w:style>
  <w:style w:type="character" w:styleId="Emphasis">
    <w:name w:val="Emphasis"/>
    <w:basedOn w:val="DefaultParagraphFont"/>
    <w:uiPriority w:val="20"/>
    <w:qFormat/>
    <w:rsid w:val="00B467BE"/>
    <w:rPr>
      <w:i/>
      <w:iCs/>
    </w:rPr>
  </w:style>
  <w:style w:type="character" w:customStyle="1" w:styleId="fontstyle01">
    <w:name w:val="fontstyle01"/>
    <w:basedOn w:val="DefaultParagraphFont"/>
    <w:rsid w:val="00EF2FA9"/>
    <w:rPr>
      <w:rFonts w:ascii="ArialMT" w:hAnsi="ArialMT" w:hint="default"/>
      <w:b w:val="0"/>
      <w:bCs w:val="0"/>
      <w:i w:val="0"/>
      <w:iCs w:val="0"/>
      <w:color w:val="000000"/>
      <w:sz w:val="20"/>
      <w:szCs w:val="20"/>
    </w:rPr>
  </w:style>
  <w:style w:type="table" w:styleId="TableGrid">
    <w:name w:val="Table Grid"/>
    <w:basedOn w:val="TableNormal"/>
    <w:uiPriority w:val="39"/>
    <w:rsid w:val="00587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00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577"/>
    <w:rPr>
      <w:sz w:val="20"/>
      <w:szCs w:val="20"/>
    </w:rPr>
  </w:style>
  <w:style w:type="character" w:styleId="FootnoteReference">
    <w:name w:val="footnote reference"/>
    <w:basedOn w:val="DefaultParagraphFont"/>
    <w:uiPriority w:val="99"/>
    <w:semiHidden/>
    <w:unhideWhenUsed/>
    <w:rsid w:val="00A00577"/>
    <w:rPr>
      <w:vertAlign w:val="superscript"/>
    </w:rPr>
  </w:style>
  <w:style w:type="paragraph" w:styleId="Header">
    <w:name w:val="header"/>
    <w:basedOn w:val="Normal"/>
    <w:link w:val="HeaderChar"/>
    <w:uiPriority w:val="99"/>
    <w:unhideWhenUsed/>
    <w:rsid w:val="0007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C04"/>
  </w:style>
  <w:style w:type="paragraph" w:styleId="Footer">
    <w:name w:val="footer"/>
    <w:basedOn w:val="Normal"/>
    <w:link w:val="FooterChar"/>
    <w:uiPriority w:val="99"/>
    <w:unhideWhenUsed/>
    <w:rsid w:val="0007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636345">
      <w:bodyDiv w:val="1"/>
      <w:marLeft w:val="0"/>
      <w:marRight w:val="0"/>
      <w:marTop w:val="0"/>
      <w:marBottom w:val="0"/>
      <w:divBdr>
        <w:top w:val="none" w:sz="0" w:space="0" w:color="auto"/>
        <w:left w:val="none" w:sz="0" w:space="0" w:color="auto"/>
        <w:bottom w:val="none" w:sz="0" w:space="0" w:color="auto"/>
        <w:right w:val="none" w:sz="0" w:space="0" w:color="auto"/>
      </w:divBdr>
    </w:div>
    <w:div w:id="828863194">
      <w:bodyDiv w:val="1"/>
      <w:marLeft w:val="0"/>
      <w:marRight w:val="0"/>
      <w:marTop w:val="0"/>
      <w:marBottom w:val="0"/>
      <w:divBdr>
        <w:top w:val="none" w:sz="0" w:space="0" w:color="auto"/>
        <w:left w:val="none" w:sz="0" w:space="0" w:color="auto"/>
        <w:bottom w:val="none" w:sz="0" w:space="0" w:color="auto"/>
        <w:right w:val="none" w:sz="0" w:space="0" w:color="auto"/>
      </w:divBdr>
      <w:divsChild>
        <w:div w:id="1226258761">
          <w:marLeft w:val="0"/>
          <w:marRight w:val="0"/>
          <w:marTop w:val="0"/>
          <w:marBottom w:val="0"/>
          <w:divBdr>
            <w:top w:val="none" w:sz="0" w:space="0" w:color="auto"/>
            <w:left w:val="none" w:sz="0" w:space="0" w:color="auto"/>
            <w:bottom w:val="none" w:sz="0" w:space="0" w:color="auto"/>
            <w:right w:val="none" w:sz="0" w:space="0" w:color="auto"/>
          </w:divBdr>
          <w:divsChild>
            <w:div w:id="1537541569">
              <w:marLeft w:val="0"/>
              <w:marRight w:val="0"/>
              <w:marTop w:val="0"/>
              <w:marBottom w:val="0"/>
              <w:divBdr>
                <w:top w:val="none" w:sz="0" w:space="0" w:color="auto"/>
                <w:left w:val="none" w:sz="0" w:space="0" w:color="auto"/>
                <w:bottom w:val="none" w:sz="0" w:space="0" w:color="auto"/>
                <w:right w:val="none" w:sz="0" w:space="0" w:color="auto"/>
              </w:divBdr>
              <w:divsChild>
                <w:div w:id="119763331">
                  <w:marLeft w:val="0"/>
                  <w:marRight w:val="0"/>
                  <w:marTop w:val="0"/>
                  <w:marBottom w:val="0"/>
                  <w:divBdr>
                    <w:top w:val="none" w:sz="0" w:space="0" w:color="auto"/>
                    <w:left w:val="none" w:sz="0" w:space="0" w:color="auto"/>
                    <w:bottom w:val="none" w:sz="0" w:space="0" w:color="auto"/>
                    <w:right w:val="none" w:sz="0" w:space="0" w:color="auto"/>
                  </w:divBdr>
                  <w:divsChild>
                    <w:div w:id="5056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23412-02CD-4F3E-8C7B-D9A669F4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4</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Atkinson</dc:creator>
  <cp:keywords/>
  <dc:description/>
  <cp:lastModifiedBy>Ryan Atkinson</cp:lastModifiedBy>
  <cp:revision>21</cp:revision>
  <dcterms:created xsi:type="dcterms:W3CDTF">2021-02-11T01:06:00Z</dcterms:created>
  <dcterms:modified xsi:type="dcterms:W3CDTF">2021-02-12T03:51:00Z</dcterms:modified>
</cp:coreProperties>
</file>