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sujet 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http://www.cyril-rabat.fr/enseignement/Info0601/projet.php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Afficheur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L’afficheur permet de visualiser la simulation en temps réel.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ce faire, une segment de mémoire partagée est créé entre l’afficheur et une zone.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Comme il peut y avoir plusieurs zones, un thread est attribué pour chaque zone (et donc un segment pour chaque zone)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 plus de réaliser l’affichage des données de chaque zones, l’afficheur doit permettre à l’utilisateur d’interagir avec la simulation (cf sujet)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segment de mémoire partagé contient donc le terrain d’une zone (comme pour le jeu de la vie)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L’afficheur ne fait pas que lire dans le segment, il peut aussi y écrire.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Pour éviter que l’afficheur et la zone n’écrivent en même temps, il sera nécessaire de mettre en place une système de sémaphores.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cyril-rabat.fr/enseignement/Info0601/projet.php" TargetMode="External"/></Relationships>
</file>