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Bibite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Création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Un nombre max de bibites est définit dans le fichier d’initialisation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La position de départ d’une bibite est aléatoire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Vie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Déplacement aléatoire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Consignée à une zone (pas de déplacement sur une autre zone)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Ne peut pas manger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Deux categories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Pacifique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Ne peut pas attaquer.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Attends la mort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Belliqueuse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Attaque à vue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Mort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Génère de la nourriture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Apres la mort d’une bibite, une autre bibite est générée peu de temps après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Algo de déplacement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Voir “algo_bibite”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