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Zone 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 zone est un client de l’application.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Lors de la création d’une zone, l’application doit envoyer une requête au serveur qui lui indiquera sa position dans la grille et son 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Création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Avant toutes choses, la zone doit contacter le serveur afin de connaître sa position dans la grille (ensemble de zones connectées au serveur) et son 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Une fois les informations reçues, l’application lit un fichier d’initialisation lui permettant de créer les différents élements de la zone.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(Création des divers éléments définie dans les dossiers “fourmi” “bibite” etc)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Une fois les différents threads de gestion des éléments créés, le thread principal se met en attente.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Execution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Passage d’une fourmi d’une zone à une autre :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ab/>
        <w:t xml:space="preserve">Lorsqu’une fourmis veut entrer dans une autre zone, elle doit le faire savoir (signal ? tube ?) à la première zone.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La zone envoie une requête au serveur afin de savoir s’il existe une zone adjacente et, si oui, si la case où la fourmi veut se déplacer est libre.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En fonction de la réponse, la zone autorise ou non la fourmi à se déplacer.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