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83" w:lineRule="auto"/>
        <w:jc w:val="center"/>
      </w:pPr>
      <w:r>
        <w:rPr>
          <w:rFonts w:ascii="Calibri" w:hAnsi="Calibri" w:eastAsia="Microsoft YaHei"/>
          <w:b/>
          <w:color w:val="00B7F4"/>
          <w:sz w:val="20"/>
        </w:rPr>
        <w:t>SHAANXI JIAOKONG</w:t>
      </w:r>
    </w:p>
    <w:p>
      <w:pPr>
        <w:spacing w:before="0" w:after="120" w:line="283" w:lineRule="auto"/>
        <w:jc w:val="center"/>
      </w:pPr>
      <w:r>
        <w:rPr>
          <w:rFonts w:ascii="Calibri" w:hAnsi="Calibri" w:eastAsia="Microsoft YaHei"/>
          <w:b/>
          <w:color w:val="0B1F33"/>
          <w:sz w:val="54"/>
        </w:rPr>
        <w:t>陕西交控路网安全态势感知</w:t>
      </w:r>
    </w:p>
    <w:p>
      <w:pPr>
        <w:spacing w:before="0" w:after="320" w:line="283" w:lineRule="auto"/>
        <w:jc w:val="center"/>
      </w:pPr>
      <w:r>
        <w:rPr>
          <w:rFonts w:ascii="Calibri" w:hAnsi="Calibri" w:eastAsia="Microsoft YaHei"/>
          <w:b/>
          <w:color w:val="1E74D8"/>
          <w:sz w:val="36"/>
        </w:rPr>
        <w:t>超宽大屏 UI 设计文档</w:t>
      </w:r>
    </w:p>
    <w:p>
      <w:pPr>
        <w:spacing w:before="0" w:after="400" w:line="283" w:lineRule="auto"/>
        <w:jc w:val="center"/>
        <w:pBdr>
          <w:bottom w:val="single" w:sz="14" w:space="4" w:color="00B7F4"/>
        </w:pBdr>
      </w:pPr>
      <w:r>
        <w:rPr>
          <w:rFonts w:ascii="Calibri" w:hAnsi="Calibri" w:eastAsia="Microsoft YaHei"/>
          <w:b w:val="0"/>
          <w:color w:val="5D7184"/>
          <w:sz w:val="21"/>
        </w:rPr>
        <w:t>基于 G70 福银高速西长段运行监测辅助决策驾驶舱参考界面梳理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2800"/>
        <w:gridCol w:w="2750"/>
        <w:gridCol w:w="3810"/>
      </w:tblGrid>
      <w:tr>
        <w:tc>
          <w:tcPr>
            <w:tcW w:type="dxa" w:w="2800"/>
            <w:shd w:fill="EAF5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9"/>
              </w:rPr>
              <w:t>项目</w:t>
            </w:r>
          </w:p>
        </w:tc>
        <w:tc>
          <w:tcPr>
            <w:tcW w:type="dxa" w:w="2750"/>
            <w:shd w:fill="EAF5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9"/>
              </w:rPr>
              <w:t>设计基线</w:t>
            </w:r>
          </w:p>
        </w:tc>
        <w:tc>
          <w:tcPr>
            <w:tcW w:type="dxa" w:w="3810"/>
            <w:shd w:fill="EAF5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9"/>
              </w:rPr>
              <w:t>文档定位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9"/>
              </w:rPr>
              <w:t>陕西交控路网安全态势感知大屏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9"/>
              </w:rPr>
              <w:t>9568 × 2808 px（约 3.41:1）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9"/>
              </w:rPr>
              <w:t>产品、视觉、前端与数据接入的共同设计依据</w:t>
            </w:r>
          </w:p>
        </w:tc>
      </w:tr>
    </w:tbl>
    <w:p>
      <w:pPr>
        <w:spacing w:before="0" w:after="320" w:line="283" w:lineRule="auto"/>
        <w:jc w:val="center"/>
      </w:pPr>
      <w:r>
        <w:rPr>
          <w:rFonts w:ascii="Calibri" w:hAnsi="Calibri" w:eastAsia="Microsoft YaHei"/>
          <w:b w:val="0"/>
          <w:color w:val="5D7184"/>
          <w:sz w:val="19"/>
        </w:rPr>
        <w:t>版本：V1.0    日期：2026-08-07    状态：方案梳理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72200" cy="30634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3aed5c86-ee20-4137-9d54-1ad7c867829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063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3" w:lineRule="auto"/>
        <w:jc w:val="center"/>
      </w:pPr>
      <w:r>
        <w:rPr>
          <w:rFonts w:ascii="Calibri" w:hAnsi="Calibri" w:eastAsia="Microsoft YaHei"/>
          <w:b w:val="0"/>
          <w:color w:val="5D7184"/>
          <w:sz w:val="17"/>
        </w:rPr>
        <w:t>图 1 参考概览页：中心地图 + 左侧态势总览 + 右侧专题详情的三域结构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FF7FD" w:val="clear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00B7F4"/>
                <w:sz w:val="21"/>
              </w:rPr>
              <w:t xml:space="preserve">设计结论  </w:t>
            </w:r>
            <w:r>
              <w:rPr>
                <w:rFonts w:ascii="Calibri" w:hAnsi="Calibri" w:eastAsia="Microsoft YaHei"/>
                <w:b w:val="0"/>
                <w:color w:val="15324D"/>
                <w:sz w:val="20"/>
              </w:rPr>
              <w:t>该大屏以‘一张路网图’承载态势定位，以两翼抽屉承载安全研判，以顶部指标带承载资源总览；通过右侧专题切换覆盖交通、气象、结构物、设备等安全子域。</w:t>
            </w:r>
          </w:p>
        </w:tc>
      </w:tr>
    </w:tbl>
    <w:p>
      <w:r>
        <w:br w:type="page"/>
      </w:r>
    </w:p>
    <w:p>
      <w:pPr>
        <w:pStyle w:val="Heading1"/>
        <w:keepNext/>
        <w:spacing w:before="300" w:after="160"/>
        <w:pBdr>
          <w:bottom w:val="single" w:sz="8" w:space="4" w:color="00B7F4"/>
        </w:pBdr>
      </w:pPr>
      <w:r>
        <w:rPr>
          <w:rFonts w:ascii="Calibri" w:hAnsi="Calibri" w:eastAsia="Microsoft YaHei"/>
          <w:b/>
          <w:color w:val="1E74D8"/>
          <w:sz w:val="32"/>
        </w:rPr>
        <w:t>1. 设计目标与适用范围</w:t>
      </w:r>
    </w:p>
    <w:p>
      <w:pPr>
        <w:spacing w:before="0" w:after="120" w:line="283" w:lineRule="auto"/>
      </w:pPr>
      <w:r>
        <w:rPr>
          <w:rFonts w:ascii="Calibri" w:hAnsi="Calibri" w:eastAsia="Microsoft YaHei"/>
          <w:b w:val="0"/>
          <w:color w:val="15324D"/>
          <w:sz w:val="21"/>
        </w:rPr>
        <w:t>本方案面向陕西交控路网运行监测与安全指挥场景，支持超宽拼接屏常态值守、事件研判、养护协同和应急调度。参考界面保留深色数字孪生地图、蓝青科技光效、左中右三域信息架构与专题大屏扩展方式。</w:t>
      </w:r>
    </w:p>
    <w:p>
      <w:pPr>
        <w:pStyle w:val="Heading2"/>
        <w:keepNext/>
        <w:spacing w:before="200" w:after="100"/>
      </w:pPr>
      <w:r>
        <w:rPr>
          <w:rFonts w:ascii="Calibri" w:hAnsi="Calibri" w:eastAsia="Microsoft YaHei"/>
          <w:b/>
          <w:color w:val="1E74D8"/>
          <w:sz w:val="25"/>
        </w:rPr>
        <w:t>1.1 核心目标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YaHei"/>
          <w:b w:val="0"/>
          <w:color w:val="15324D"/>
          <w:sz w:val="20"/>
        </w:rPr>
        <w:t>30 秒内识别当前路网安全等级、事件数量、交通管制、气象预警和关键结构物异常。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YaHei"/>
          <w:b w:val="0"/>
          <w:color w:val="15324D"/>
          <w:sz w:val="20"/>
        </w:rPr>
        <w:t>在中心地图完成路段、设施、事件、视频和设备的空间定位、联动筛选与下钻。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YaHei"/>
          <w:b w:val="0"/>
          <w:color w:val="15324D"/>
          <w:sz w:val="20"/>
        </w:rPr>
        <w:t>在不离开主地图的前提下，通过右侧专题面板切换完成风险研判与处置核验。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YaHei"/>
          <w:b w:val="0"/>
          <w:color w:val="15324D"/>
          <w:sz w:val="20"/>
        </w:rPr>
        <w:t>兼容 9568 × 2808 的拼接屏，关键数字、文字和点击目标均按远距观看与值守操作设计。</w:t>
      </w:r>
    </w:p>
    <w:p>
      <w:pPr>
        <w:pStyle w:val="Heading2"/>
        <w:keepNext/>
        <w:spacing w:before="200" w:after="100"/>
      </w:pPr>
      <w:r>
        <w:rPr>
          <w:rFonts w:ascii="Calibri" w:hAnsi="Calibri" w:eastAsia="Microsoft YaHei"/>
          <w:b/>
          <w:color w:val="1E74D8"/>
          <w:sz w:val="25"/>
        </w:rPr>
        <w:t>1.2 用户与任务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700"/>
        <w:gridCol w:w="3600"/>
        <w:gridCol w:w="4060"/>
      </w:tblGrid>
      <w:tr>
        <w:tc>
          <w:tcPr>
            <w:tcW w:type="dxa" w:w="17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8"/>
              </w:rPr>
              <w:t>角色</w:t>
            </w:r>
          </w:p>
        </w:tc>
        <w:tc>
          <w:tcPr>
            <w:tcW w:type="dxa" w:w="36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8"/>
              </w:rPr>
              <w:t>主要任务</w:t>
            </w:r>
          </w:p>
        </w:tc>
        <w:tc>
          <w:tcPr>
            <w:tcW w:type="dxa" w:w="4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8"/>
              </w:rPr>
              <w:t>优先信息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路网值守人员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监控、确认、派单、跟踪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实时事件、视频、拥堵、设备故障</w:t>
            </w:r>
          </w:p>
        </w:tc>
      </w:tr>
      <w:tr>
        <w:tc>
          <w:tcPr>
            <w:tcW w:type="dxa" w:w="1700"/>
            <w:shd w:fill="F7FAFD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安全管理人员</w:t>
            </w:r>
          </w:p>
        </w:tc>
        <w:tc>
          <w:tcPr>
            <w:tcW w:type="dxa" w:w="3600"/>
            <w:shd w:fill="F7FAFD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风险研判、会商、督导</w:t>
            </w:r>
          </w:p>
        </w:tc>
        <w:tc>
          <w:tcPr>
            <w:tcW w:type="dxa" w:w="4060"/>
            <w:shd w:fill="F7FAFD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综合风险等级、预警、结构物、管制影响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养护与应急人员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施工协同、巡查、处置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施工计划、桥隧异常、值班资源、应急物资</w:t>
            </w:r>
          </w:p>
        </w:tc>
      </w:tr>
      <w:tr>
        <w:tc>
          <w:tcPr>
            <w:tcW w:type="dxa" w:w="1700"/>
            <w:shd w:fill="F7FAFD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管理决策人员</w:t>
            </w:r>
          </w:p>
        </w:tc>
        <w:tc>
          <w:tcPr>
            <w:tcW w:type="dxa" w:w="3600"/>
            <w:shd w:fill="F7FAFD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态势总览、趋势复盘</w:t>
            </w:r>
          </w:p>
        </w:tc>
        <w:tc>
          <w:tcPr>
            <w:tcW w:type="dxa" w:w="4060"/>
            <w:shd w:fill="F7FAFD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事件趋势、通行效率、处置时效、风险闭环</w:t>
            </w:r>
          </w:p>
        </w:tc>
      </w:tr>
    </w:tbl>
    <w:p>
      <w:pPr>
        <w:pStyle w:val="Heading2"/>
        <w:keepNext/>
        <w:spacing w:before="200" w:after="100"/>
      </w:pPr>
      <w:r>
        <w:rPr>
          <w:rFonts w:ascii="Calibri" w:hAnsi="Calibri" w:eastAsia="Microsoft YaHei"/>
          <w:b/>
          <w:color w:val="1E74D8"/>
          <w:sz w:val="25"/>
        </w:rPr>
        <w:t>1.3 页面体系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900"/>
        <w:gridCol w:w="2400"/>
        <w:gridCol w:w="6060"/>
      </w:tblGrid>
      <w:tr>
        <w:tc>
          <w:tcPr>
            <w:tcW w:type="dxa" w:w="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8"/>
              </w:rPr>
              <w:t>层级</w:t>
            </w:r>
          </w:p>
        </w:tc>
        <w:tc>
          <w:tcPr>
            <w:tcW w:type="dxa" w:w="24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8"/>
              </w:rPr>
              <w:t>页面 / 模式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8"/>
              </w:rPr>
              <w:t>功能定位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L0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综合概览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一图统览当前安全态势，作为默认值守页。</w:t>
            </w:r>
          </w:p>
        </w:tc>
      </w:tr>
      <w:tr>
        <w:tc>
          <w:tcPr>
            <w:tcW w:type="dxa" w:w="900"/>
            <w:shd w:fill="F7FAFD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L1</w:t>
            </w:r>
          </w:p>
        </w:tc>
        <w:tc>
          <w:tcPr>
            <w:tcW w:type="dxa" w:w="2400"/>
            <w:shd w:fill="F7FAFD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右侧专题抽屉</w:t>
            </w:r>
          </w:p>
        </w:tc>
        <w:tc>
          <w:tcPr>
            <w:tcW w:type="dxa" w:w="6060"/>
            <w:shd w:fill="F7FAFD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通行、管制、气象、关键结构物、设备、事件明细等专题切换。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L1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交通流及事件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趋势、流量、收费站排行、断面与车型分析。</w:t>
            </w:r>
          </w:p>
        </w:tc>
      </w:tr>
      <w:tr>
        <w:tc>
          <w:tcPr>
            <w:tcW w:type="dxa" w:w="900"/>
            <w:shd w:fill="F7FAFD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L1</w:t>
            </w:r>
          </w:p>
        </w:tc>
        <w:tc>
          <w:tcPr>
            <w:tcW w:type="dxa" w:w="2400"/>
            <w:shd w:fill="F7FAFD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养护巡查及运营</w:t>
            </w:r>
          </w:p>
        </w:tc>
        <w:tc>
          <w:tcPr>
            <w:tcW w:type="dxa" w:w="6060"/>
            <w:shd w:fill="F7FAFD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施工统计、关键结构物卡片、值班值守、路产巡查。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L2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对象详情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事件、设施、设备、收费站、桥隧的详情、视频与处置时间线。</w:t>
            </w:r>
          </w:p>
        </w:tc>
      </w:tr>
    </w:tbl>
    <w:p>
      <w:r>
        <w:br w:type="page"/>
      </w:r>
    </w:p>
    <w:p>
      <w:pPr>
        <w:pStyle w:val="Heading1"/>
        <w:keepNext/>
        <w:spacing w:before="300" w:after="160"/>
        <w:pBdr>
          <w:bottom w:val="single" w:sz="8" w:space="4" w:color="00B7F4"/>
        </w:pBdr>
      </w:pPr>
      <w:r>
        <w:rPr>
          <w:rFonts w:ascii="Calibri" w:hAnsi="Calibri" w:eastAsia="Microsoft YaHei"/>
          <w:b/>
          <w:color w:val="1E74D8"/>
          <w:sz w:val="32"/>
        </w:rPr>
        <w:t>2. 总体布局与分辨率基线</w:t>
      </w:r>
    </w:p>
    <w:p>
      <w:pPr>
        <w:spacing w:before="0" w:after="120" w:line="283" w:lineRule="auto"/>
      </w:pPr>
      <w:r>
        <w:rPr>
          <w:rFonts w:ascii="Calibri" w:hAnsi="Calibri" w:eastAsia="Microsoft YaHei"/>
          <w:b w:val="0"/>
          <w:color w:val="15324D"/>
          <w:sz w:val="21"/>
        </w:rPr>
        <w:t>画布固定为 9568 × 2808 px，建议按逻辑栅格设计、按屏幕比例缩放。业务区域不使用浏览器滚动；右侧专题内容区允许卡片内纵向滚动。拼接缝应避开标题、核心数值、图表零轴与高频按钮。</w:t>
      </w:r>
    </w:p>
    <w:p>
      <w:pPr>
        <w:pStyle w:val="Heading2"/>
        <w:keepNext/>
        <w:spacing w:before="200" w:after="100"/>
      </w:pPr>
      <w:r>
        <w:rPr>
          <w:rFonts w:ascii="Calibri" w:hAnsi="Calibri" w:eastAsia="Microsoft YaHei"/>
          <w:b/>
          <w:color w:val="1E74D8"/>
          <w:sz w:val="25"/>
        </w:rPr>
        <w:t>2.1 布局坐标建议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300"/>
        <w:gridCol w:w="3000"/>
        <w:gridCol w:w="1050"/>
        <w:gridCol w:w="4010"/>
      </w:tblGrid>
      <w:tr>
        <w:tc>
          <w:tcPr>
            <w:tcW w:type="dxa" w:w="13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8"/>
              </w:rPr>
              <w:t>区域</w:t>
            </w:r>
          </w:p>
        </w:tc>
        <w:tc>
          <w:tcPr>
            <w:tcW w:type="dxa" w:w="30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8"/>
              </w:rPr>
              <w:t>逻辑坐标（x, y, w, h）</w:t>
            </w:r>
          </w:p>
        </w:tc>
        <w:tc>
          <w:tcPr>
            <w:tcW w:type="dxa" w:w="10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8"/>
              </w:rPr>
              <w:t>占比</w:t>
            </w:r>
          </w:p>
        </w:tc>
        <w:tc>
          <w:tcPr>
            <w:tcW w:type="dxa" w:w="40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8"/>
              </w:rPr>
              <w:t>设计说明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顶栏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0, 0, 9568, 220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7.8% 高</w:t>
            </w:r>
          </w:p>
        </w:tc>
        <w:tc>
          <w:tcPr>
            <w:tcW w:type="dxa" w:w="4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系统时间、主标题、页面模式选择；标题居中，控制项靠右。</w:t>
            </w:r>
          </w:p>
        </w:tc>
      </w:tr>
      <w:tr>
        <w:tc>
          <w:tcPr>
            <w:tcW w:type="dxa" w:w="1300"/>
            <w:shd w:fill="F7FAFD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左侧态势栏</w:t>
            </w:r>
          </w:p>
        </w:tc>
        <w:tc>
          <w:tcPr>
            <w:tcW w:type="dxa" w:w="3000"/>
            <w:shd w:fill="F7FAFD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90, 250, 2240, 2490</w:t>
            </w:r>
          </w:p>
        </w:tc>
        <w:tc>
          <w:tcPr>
            <w:tcW w:type="dxa" w:w="1050"/>
            <w:shd w:fill="F7FAFD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23.4% 宽</w:t>
            </w:r>
          </w:p>
        </w:tc>
        <w:tc>
          <w:tcPr>
            <w:tcW w:type="dxa" w:w="4010"/>
            <w:shd w:fill="F7FAFD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固定 6 个信息组：事件、通行、管制、气象、结构物、设备。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中心地图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2360, 250, 4760, 2490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49.8% 宽</w:t>
            </w:r>
          </w:p>
        </w:tc>
        <w:tc>
          <w:tcPr>
            <w:tcW w:type="dxa" w:w="4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主路网空间底图、上方设施 KPI、右下图层控制。</w:t>
            </w:r>
          </w:p>
        </w:tc>
      </w:tr>
      <w:tr>
        <w:tc>
          <w:tcPr>
            <w:tcW w:type="dxa" w:w="1300"/>
            <w:shd w:fill="F7FAFD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右侧专题栏</w:t>
            </w:r>
          </w:p>
        </w:tc>
        <w:tc>
          <w:tcPr>
            <w:tcW w:type="dxa" w:w="3000"/>
            <w:shd w:fill="F7FAFD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7150, 250, 2328, 2490</w:t>
            </w:r>
          </w:p>
        </w:tc>
        <w:tc>
          <w:tcPr>
            <w:tcW w:type="dxa" w:w="1050"/>
            <w:shd w:fill="F7FAFD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24.3% 宽</w:t>
            </w:r>
          </w:p>
        </w:tc>
        <w:tc>
          <w:tcPr>
            <w:tcW w:type="dxa" w:w="4010"/>
            <w:shd w:fill="F7FAFD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同一容器随专题切换内容，承载研判、排行、趋势与明细。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安全边距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≥ 90 px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—</w:t>
            </w:r>
          </w:p>
        </w:tc>
        <w:tc>
          <w:tcPr>
            <w:tcW w:type="dxa" w:w="4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所有贴边模块保留外呼吸边距，适配边缘拼缝与投屏裁切。</w:t>
            </w:r>
          </w:p>
        </w:tc>
      </w:tr>
    </w:tbl>
    <w:p>
      <w:pPr>
        <w:pStyle w:val="Heading2"/>
        <w:keepNext/>
        <w:spacing w:before="200" w:after="100"/>
      </w:pPr>
      <w:r>
        <w:rPr>
          <w:rFonts w:ascii="Calibri" w:hAnsi="Calibri" w:eastAsia="Microsoft YaHei"/>
          <w:b/>
          <w:color w:val="1E74D8"/>
          <w:sz w:val="25"/>
        </w:rPr>
        <w:t>2.2 响应式与缩放规则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YaHei"/>
          <w:b w:val="0"/>
          <w:color w:val="15324D"/>
          <w:sz w:val="20"/>
        </w:rPr>
        <w:t>设计稿以 9568 px 为 100% 基准；现场使用 scale = 实际屏宽 / 9568 等比缩放，字体、图标、圆角、阴影同步缩放。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YaHei"/>
          <w:b w:val="0"/>
          <w:color w:val="15324D"/>
          <w:sz w:val="20"/>
        </w:rPr>
        <w:t>最小字号：非核心说明 28 px；表头与列表正文 30–34 px；模块标题 38–44 px；关键指标 64–88 px；主标题 78–92 px。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YaHei"/>
          <w:b w:val="0"/>
          <w:color w:val="15324D"/>
          <w:sz w:val="20"/>
        </w:rPr>
        <w:t>左右栏宽度为固定比例，中心地图为弹性区；当可用宽度下降时优先压缩地图，不压缩左右栏的文字与表格列宽。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YaHei"/>
          <w:b w:val="0"/>
          <w:color w:val="15324D"/>
          <w:sz w:val="20"/>
        </w:rPr>
        <w:t>功能操作区的最小可点击尺寸为 72 × 48 px；地图图例与勾选框保持 24 px 以上视觉尺寸。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FF7FD" w:val="clear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F5A623"/>
                <w:sz w:val="21"/>
              </w:rPr>
              <w:t xml:space="preserve">拼接屏规范  </w:t>
            </w:r>
            <w:r>
              <w:rPr>
                <w:rFonts w:ascii="Calibri" w:hAnsi="Calibri" w:eastAsia="Microsoft YaHei"/>
                <w:b w:val="0"/>
                <w:color w:val="15324D"/>
                <w:sz w:val="20"/>
              </w:rPr>
              <w:t>标题、KPI、图表标签和关键告警不得横跨物理拼缝。建议在实施前录入实际屏体分辨率与拼缝坐标，生成拼缝避让参考线。</w:t>
            </w:r>
          </w:p>
        </w:tc>
      </w:tr>
    </w:tbl>
    <w:p>
      <w:r>
        <w:br w:type="page"/>
      </w:r>
    </w:p>
    <w:p>
      <w:pPr>
        <w:pStyle w:val="Heading1"/>
        <w:keepNext/>
        <w:spacing w:before="300" w:after="160"/>
        <w:pBdr>
          <w:bottom w:val="single" w:sz="8" w:space="4" w:color="00B7F4"/>
        </w:pBdr>
      </w:pPr>
      <w:r>
        <w:rPr>
          <w:rFonts w:ascii="Calibri" w:hAnsi="Calibri" w:eastAsia="Microsoft YaHei"/>
          <w:b/>
          <w:color w:val="1E74D8"/>
          <w:sz w:val="32"/>
        </w:rPr>
        <w:t>3. 概览页信息架构</w:t>
      </w:r>
    </w:p>
    <w:p>
      <w:pPr>
        <w:spacing w:before="0" w:after="120" w:line="283" w:lineRule="auto"/>
      </w:pPr>
      <w:r>
        <w:rPr>
          <w:rFonts w:ascii="Calibri" w:hAnsi="Calibri" w:eastAsia="Microsoft YaHei"/>
          <w:b w:val="0"/>
          <w:color w:val="15324D"/>
          <w:sz w:val="21"/>
        </w:rPr>
        <w:t>概览页采用‘顶部资源总览 + 左侧安全态势 + 中心一图定位 + 右侧专题研判’架构。左栏提供连续摘要，中心地图提供空间上下文，右栏展示当前选中专题，不抢占主地图。</w:t>
      </w:r>
    </w:p>
    <w:p>
      <w:pPr>
        <w:pStyle w:val="Heading2"/>
        <w:keepNext/>
        <w:spacing w:before="200" w:after="100"/>
      </w:pPr>
      <w:r>
        <w:rPr>
          <w:rFonts w:ascii="Calibri" w:hAnsi="Calibri" w:eastAsia="Microsoft YaHei"/>
          <w:b/>
          <w:color w:val="1E74D8"/>
          <w:sz w:val="25"/>
        </w:rPr>
        <w:t>3.1 顶部资源总览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600"/>
        <w:gridCol w:w="3600"/>
        <w:gridCol w:w="4160"/>
      </w:tblGrid>
      <w:tr>
        <w:tc>
          <w:tcPr>
            <w:tcW w:type="dxa" w:w="16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8"/>
              </w:rPr>
              <w:t>组件</w:t>
            </w:r>
          </w:p>
        </w:tc>
        <w:tc>
          <w:tcPr>
            <w:tcW w:type="dxa" w:w="36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8"/>
              </w:rPr>
              <w:t>字段</w:t>
            </w:r>
          </w:p>
        </w:tc>
        <w:tc>
          <w:tcPr>
            <w:tcW w:type="dxa" w:w="41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8"/>
              </w:rPr>
              <w:t>状态 / 交互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系统时间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日期、时分秒、数据更新时间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每秒刷新时间；数据更新时间独立标识。</w:t>
            </w:r>
          </w:p>
        </w:tc>
      </w:tr>
      <w:tr>
        <w:tc>
          <w:tcPr>
            <w:tcW w:type="dxa" w:w="1600"/>
            <w:shd w:fill="F7FAFD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主标题</w:t>
            </w:r>
          </w:p>
        </w:tc>
        <w:tc>
          <w:tcPr>
            <w:tcW w:type="dxa" w:w="3600"/>
            <w:shd w:fill="F7FAFD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陕西交控路网安全态势感知</w:t>
            </w:r>
          </w:p>
        </w:tc>
        <w:tc>
          <w:tcPr>
            <w:tcW w:type="dxa" w:w="4160"/>
            <w:shd w:fill="F7FAFD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固定居中；可选显示当前机构 / 路段范围。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页面模式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概况、交通流及事件、养护巡查及运营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下拉或分段按钮切换一级页面。</w:t>
            </w:r>
          </w:p>
        </w:tc>
      </w:tr>
      <w:tr>
        <w:tc>
          <w:tcPr>
            <w:tcW w:type="dxa" w:w="1600"/>
            <w:shd w:fill="F7FAFD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设施 KPI</w:t>
            </w:r>
          </w:p>
        </w:tc>
        <w:tc>
          <w:tcPr>
            <w:tcW w:type="dxa" w:w="3600"/>
            <w:shd w:fill="F7FAFD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总里程、收费站、服务区、桥梁、隧道</w:t>
            </w:r>
          </w:p>
        </w:tc>
        <w:tc>
          <w:tcPr>
            <w:tcW w:type="dxa" w:w="4160"/>
            <w:shd w:fill="F7FAFD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点击筛选地图并打开对应专题或图层。</w:t>
            </w:r>
          </w:p>
        </w:tc>
      </w:tr>
    </w:tbl>
    <w:p>
      <w:pPr>
        <w:pStyle w:val="Heading2"/>
        <w:keepNext/>
        <w:spacing w:before="200" w:after="100"/>
      </w:pPr>
      <w:r>
        <w:rPr>
          <w:rFonts w:ascii="Calibri" w:hAnsi="Calibri" w:eastAsia="Microsoft YaHei"/>
          <w:b/>
          <w:color w:val="1E74D8"/>
          <w:sz w:val="25"/>
        </w:rPr>
        <w:t>3.2 左侧固定态势栏</w:t>
      </w:r>
    </w:p>
    <w:tbl>
      <w:tblPr>
        <w:tblStyle w:val="TableGrid"/>
        <w:tblW w:type="dxa" w:w="9500"/>
        <w:jc w:val="left"/>
        <w:tblLook w:firstColumn="1" w:firstRow="1" w:lastColumn="0" w:lastRow="0" w:noHBand="0" w:noVBand="1" w:val="04A0"/>
        <w:tblInd w:w="120" w:type="dxa"/>
      </w:tblPr>
      <w:tblGrid>
        <w:gridCol w:w="1700"/>
        <w:gridCol w:w="4250"/>
        <w:gridCol w:w="3550"/>
      </w:tblGrid>
      <w:tr>
        <w:tc>
          <w:tcPr>
            <w:tcW w:type="dxa" w:w="17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8"/>
              </w:rPr>
              <w:t>模块</w:t>
            </w:r>
          </w:p>
        </w:tc>
        <w:tc>
          <w:tcPr>
            <w:tcW w:type="dxa" w:w="42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8"/>
              </w:rPr>
              <w:t>建议指标</w:t>
            </w:r>
          </w:p>
        </w:tc>
        <w:tc>
          <w:tcPr>
            <w:tcW w:type="dxa" w:w="35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8"/>
              </w:rPr>
              <w:t>告警表现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交通事件</w:t>
            </w:r>
          </w:p>
        </w:tc>
        <w:tc>
          <w:tcPr>
            <w:tcW w:type="dxa" w:w="4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实时事件总数；人员伤亡、路产受损、阻断交通、道路施工</w:t>
            </w:r>
          </w:p>
        </w:tc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总数使用高亮数字；阻断交通使用红色；点击定位事件。</w:t>
            </w:r>
          </w:p>
        </w:tc>
      </w:tr>
      <w:tr>
        <w:tc>
          <w:tcPr>
            <w:tcW w:type="dxa" w:w="1700"/>
            <w:shd w:fill="F7FAFD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通行态势</w:t>
            </w:r>
          </w:p>
        </w:tc>
        <w:tc>
          <w:tcPr>
            <w:tcW w:type="dxa" w:w="4250"/>
            <w:shd w:fill="F7FAFD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拥堵等级、拥堵路段数、重大项目影响长度</w:t>
            </w:r>
          </w:p>
        </w:tc>
        <w:tc>
          <w:tcPr>
            <w:tcW w:type="dxa" w:w="3550"/>
            <w:shd w:fill="F7FAFD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绿/黄/橙/红四级；显示较昨日或近 15 分钟变化。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交通管制</w:t>
            </w:r>
          </w:p>
        </w:tc>
        <w:tc>
          <w:tcPr>
            <w:tcW w:type="dxa" w:w="4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封道里程、关闭、限流、分流</w:t>
            </w:r>
          </w:p>
        </w:tc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管制类型与影响长度并列；与地图线段高亮联动。</w:t>
            </w:r>
          </w:p>
        </w:tc>
      </w:tr>
      <w:tr>
        <w:tc>
          <w:tcPr>
            <w:tcW w:type="dxa" w:w="1700"/>
            <w:shd w:fill="F7FAFD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气象环境</w:t>
            </w:r>
          </w:p>
        </w:tc>
        <w:tc>
          <w:tcPr>
            <w:tcW w:type="dxa" w:w="4250"/>
            <w:shd w:fill="F7FAFD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气象预警、大风、降雨、降雪、大雾、其他</w:t>
            </w:r>
          </w:p>
        </w:tc>
        <w:tc>
          <w:tcPr>
            <w:tcW w:type="dxa" w:w="3550"/>
            <w:shd w:fill="F7FAFD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按预警级别着色；点击转到气象预警列表。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关键结构物</w:t>
            </w:r>
          </w:p>
        </w:tc>
        <w:tc>
          <w:tcPr>
            <w:tcW w:type="dxa" w:w="4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桥梁异常、边坡异常、隧道异常 / 总数</w:t>
            </w:r>
          </w:p>
        </w:tc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异常分子显红，分母为纳管对象数；可横向切换。</w:t>
            </w:r>
          </w:p>
        </w:tc>
      </w:tr>
      <w:tr>
        <w:tc>
          <w:tcPr>
            <w:tcW w:type="dxa" w:w="1700"/>
            <w:shd w:fill="F7FAFD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机电设备</w:t>
            </w:r>
          </w:p>
        </w:tc>
        <w:tc>
          <w:tcPr>
            <w:tcW w:type="dxa" w:w="4250"/>
            <w:shd w:fill="F7FAFD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完好率、设备总数、故障数</w:t>
            </w:r>
          </w:p>
        </w:tc>
        <w:tc>
          <w:tcPr>
            <w:tcW w:type="dxa" w:w="3550"/>
            <w:shd w:fill="F7FAFD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环图显示完好率；故障数红色并提供明细入口。</w:t>
            </w:r>
          </w:p>
        </w:tc>
      </w:tr>
    </w:tbl>
    <w:p>
      <w:pPr>
        <w:pStyle w:val="Heading2"/>
        <w:keepNext/>
        <w:spacing w:before="200" w:after="100"/>
      </w:pPr>
      <w:r>
        <w:rPr>
          <w:rFonts w:ascii="Calibri" w:hAnsi="Calibri" w:eastAsia="Microsoft YaHei"/>
          <w:b/>
          <w:color w:val="1E74D8"/>
          <w:sz w:val="25"/>
        </w:rPr>
        <w:t>3.3 中心地图与图层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YaHei"/>
          <w:b w:val="0"/>
          <w:color w:val="15324D"/>
          <w:sz w:val="20"/>
        </w:rPr>
        <w:t>底图采用深海军蓝底色，主路网蓝灰线、河流青色、重点对象青绿标注；低优先级地物降亮度，确保事件与管制线段显著。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YaHei"/>
          <w:b w:val="0"/>
          <w:color w:val="15324D"/>
          <w:sz w:val="20"/>
        </w:rPr>
        <w:t>地图上方悬浮设施 KPI，避免覆盖路网核心区；图例固定在右下，支持多选图层与全选/清空。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YaHei"/>
          <w:b w:val="0"/>
          <w:color w:val="15324D"/>
          <w:sz w:val="20"/>
        </w:rPr>
        <w:t>图层至少包含：实时事件、道路施工、交通管制、道路拥堵、巡查车辆、应急资源、服务区、收费站、桥梁、隧道、摄像机、情报板。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YaHei"/>
          <w:b w:val="0"/>
          <w:color w:val="15324D"/>
          <w:sz w:val="20"/>
        </w:rPr>
        <w:t>点选对象弹出轻量浮卡：名称、桩号/位置、风险等级、最近上报时间、操作按钮（查看详情 / 视频 / 派单）。</w:t>
      </w:r>
    </w:p>
    <w:p>
      <w:r>
        <w:br w:type="page"/>
      </w:r>
    </w:p>
    <w:p>
      <w:pPr>
        <w:pStyle w:val="Heading1"/>
        <w:keepNext/>
        <w:spacing w:before="300" w:after="160"/>
        <w:pBdr>
          <w:bottom w:val="single" w:sz="8" w:space="4" w:color="00B7F4"/>
        </w:pBdr>
      </w:pPr>
      <w:r>
        <w:rPr>
          <w:rFonts w:ascii="Calibri" w:hAnsi="Calibri" w:eastAsia="Microsoft YaHei"/>
          <w:b/>
          <w:color w:val="1E74D8"/>
          <w:sz w:val="32"/>
        </w:rPr>
        <w:t>4. 右侧专题抽屉设计</w:t>
      </w:r>
    </w:p>
    <w:p>
      <w:pPr>
        <w:spacing w:before="0" w:after="120" w:line="283" w:lineRule="auto"/>
      </w:pPr>
      <w:r>
        <w:rPr>
          <w:rFonts w:ascii="Calibri" w:hAnsi="Calibri" w:eastAsia="Microsoft YaHei"/>
          <w:b w:val="0"/>
          <w:color w:val="15324D"/>
          <w:sz w:val="21"/>
        </w:rPr>
        <w:t>右侧专题区域统一使用 2328 px 宽的垂直容器。标题行固定，主体根据专题切换；内容卡片使用 24 px 内边距、12–16 px 圆角、1 px 青蓝描边与低透明深蓝渐变填充。</w:t>
      </w:r>
    </w:p>
    <w:tbl>
      <w:tblPr>
        <w:tblStyle w:val="TableGrid"/>
        <w:tblW w:type="dxa" w:w="9500"/>
        <w:jc w:val="left"/>
        <w:tblLook w:firstColumn="1" w:firstRow="1" w:lastColumn="0" w:lastRow="0" w:noHBand="0" w:noVBand="1" w:val="04A0"/>
        <w:tblInd w:w="120" w:type="dxa"/>
      </w:tblPr>
      <w:tblGrid>
        <w:gridCol w:w="1400"/>
        <w:gridCol w:w="3480"/>
        <w:gridCol w:w="4620"/>
      </w:tblGrid>
      <w:tr>
        <w:tc>
          <w:tcPr>
            <w:tcW w:type="dxa" w:w="1400"/>
            <w:shd w:fill="EAF5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7"/>
              </w:rPr>
              <w:t>专题</w:t>
            </w:r>
          </w:p>
        </w:tc>
        <w:tc>
          <w:tcPr>
            <w:tcW w:type="dxa" w:w="3480"/>
            <w:shd w:fill="EAF5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7"/>
              </w:rPr>
              <w:t>参考图对应内容</w:t>
            </w:r>
          </w:p>
        </w:tc>
        <w:tc>
          <w:tcPr>
            <w:tcW w:type="dxa" w:w="4620"/>
            <w:shd w:fill="EAF5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7"/>
              </w:rPr>
              <w:t>推荐组件与交互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7"/>
              </w:rPr>
              <w:t>实时事件</w:t>
            </w:r>
          </w:p>
        </w:tc>
        <w:tc>
          <w:tcPr>
            <w:tcW w:type="dxa" w:w="3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7"/>
              </w:rPr>
              <w:t>近 15 日趋势、影响统计、类型分析、事件明细</w:t>
            </w:r>
          </w:p>
        </w:tc>
        <w:tc>
          <w:tcPr>
            <w:tcW w:type="dxa" w:w="4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7"/>
              </w:rPr>
              <w:t>折线 / 柱线组合、环形占比、状态 Tab、空态插画；点击行定位地图。</w:t>
            </w:r>
          </w:p>
        </w:tc>
      </w:tr>
      <w:tr>
        <w:tc>
          <w:tcPr>
            <w:tcW w:type="dxa" w:w="1400"/>
            <w:shd w:fill="F7FAFD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7"/>
              </w:rPr>
              <w:t>通行概况</w:t>
            </w:r>
          </w:p>
        </w:tc>
        <w:tc>
          <w:tcPr>
            <w:tcW w:type="dxa" w:w="3480"/>
            <w:shd w:fill="F7FAFD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7"/>
              </w:rPr>
              <w:t>主线与收费站切换、拥堵清单、今日流量、24 小时趋势</w:t>
            </w:r>
          </w:p>
        </w:tc>
        <w:tc>
          <w:tcPr>
            <w:tcW w:type="dxa" w:w="4620"/>
            <w:shd w:fill="F7FAFD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7"/>
              </w:rPr>
              <w:t>分段按钮、表格、柱线组合图；筛选收费站与入口/出口。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7"/>
              </w:rPr>
              <w:t>交通管制</w:t>
            </w:r>
          </w:p>
        </w:tc>
        <w:tc>
          <w:tcPr>
            <w:tcW w:type="dxa" w:w="3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7"/>
              </w:rPr>
              <w:t>主线/收费站管制、原因分析、管制详情</w:t>
            </w:r>
          </w:p>
        </w:tc>
        <w:tc>
          <w:tcPr>
            <w:tcW w:type="dxa" w:w="4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7"/>
              </w:rPr>
              <w:t>KPI 条、同心环、详情卡；地图显示封控起讫与影响范围。</w:t>
            </w:r>
          </w:p>
        </w:tc>
      </w:tr>
      <w:tr>
        <w:tc>
          <w:tcPr>
            <w:tcW w:type="dxa" w:w="1400"/>
            <w:shd w:fill="F7FAFD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7"/>
              </w:rPr>
              <w:t>气象环境</w:t>
            </w:r>
          </w:p>
        </w:tc>
        <w:tc>
          <w:tcPr>
            <w:tcW w:type="dxa" w:w="3480"/>
            <w:shd w:fill="F7FAFD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7"/>
              </w:rPr>
              <w:t>蓝/黄/橙/红预警、预警卡片列表</w:t>
            </w:r>
          </w:p>
        </w:tc>
        <w:tc>
          <w:tcPr>
            <w:tcW w:type="dxa" w:w="4620"/>
            <w:shd w:fill="F7FAFD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7"/>
              </w:rPr>
              <w:t>预警等级卡、滚动消息卡、天气预报 Tab；点击卡片高亮影响路段。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7"/>
              </w:rPr>
              <w:t>关键结构物</w:t>
            </w:r>
          </w:p>
        </w:tc>
        <w:tc>
          <w:tcPr>
            <w:tcW w:type="dxa" w:w="3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7"/>
              </w:rPr>
              <w:t>桥/边坡/隧道异常、对象列表</w:t>
            </w:r>
          </w:p>
        </w:tc>
        <w:tc>
          <w:tcPr>
            <w:tcW w:type="dxa" w:w="4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7"/>
              </w:rPr>
              <w:t>摘要条 + 对象卡；包含传感器在线、健康状态、视频入口。</w:t>
            </w:r>
          </w:p>
        </w:tc>
      </w:tr>
      <w:tr>
        <w:tc>
          <w:tcPr>
            <w:tcW w:type="dxa" w:w="1400"/>
            <w:shd w:fill="F7FAFD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7"/>
              </w:rPr>
              <w:t>设备概况</w:t>
            </w:r>
          </w:p>
        </w:tc>
        <w:tc>
          <w:tcPr>
            <w:tcW w:type="dxa" w:w="3480"/>
            <w:shd w:fill="F7FAFD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7"/>
              </w:rPr>
              <w:t>设备总数、故障数、分类统计、故障明细</w:t>
            </w:r>
          </w:p>
        </w:tc>
        <w:tc>
          <w:tcPr>
            <w:tcW w:type="dxa" w:w="4620"/>
            <w:shd w:fill="F7FAFD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7"/>
              </w:rPr>
              <w:t>设备类别 Tab、完好率、明细表；支持工单状态筛选。</w:t>
            </w:r>
          </w:p>
        </w:tc>
      </w:tr>
    </w:tbl>
    <w:p>
      <w:pPr>
        <w:pStyle w:val="Heading2"/>
        <w:keepNext/>
        <w:spacing w:before="200" w:after="100"/>
      </w:pPr>
      <w:r>
        <w:rPr>
          <w:rFonts w:ascii="Calibri" w:hAnsi="Calibri" w:eastAsia="Microsoft YaHei"/>
          <w:b/>
          <w:color w:val="1E74D8"/>
          <w:sz w:val="25"/>
        </w:rPr>
        <w:t>4.1 专题通用状态</w:t>
      </w:r>
    </w:p>
    <w:tbl>
      <w:tblPr>
        <w:tblStyle w:val="TableGrid"/>
        <w:tblW w:type="dxa" w:w="9500"/>
        <w:jc w:val="left"/>
        <w:tblLook w:firstColumn="1" w:firstRow="1" w:lastColumn="0" w:lastRow="0" w:noHBand="0" w:noVBand="1" w:val="04A0"/>
        <w:tblInd w:w="120" w:type="dxa"/>
      </w:tblPr>
      <w:tblGrid>
        <w:gridCol w:w="1150"/>
        <w:gridCol w:w="4100"/>
        <w:gridCol w:w="4250"/>
      </w:tblGrid>
      <w:tr>
        <w:tc>
          <w:tcPr>
            <w:tcW w:type="dxa" w:w="11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8"/>
              </w:rPr>
              <w:t>状态</w:t>
            </w:r>
          </w:p>
        </w:tc>
        <w:tc>
          <w:tcPr>
            <w:tcW w:type="dxa" w:w="4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8"/>
              </w:rPr>
              <w:t>视觉规则</w:t>
            </w:r>
          </w:p>
        </w:tc>
        <w:tc>
          <w:tcPr>
            <w:tcW w:type="dxa" w:w="42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8"/>
              </w:rPr>
              <w:t>交互 / 文案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默认</w:t>
            </w:r>
          </w:p>
        </w:tc>
        <w:tc>
          <w:tcPr>
            <w:tcW w:type="dxa" w:w="4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选中 Tab 采用亮蓝填充，未选中使用透明描边。</w:t>
            </w:r>
          </w:p>
        </w:tc>
        <w:tc>
          <w:tcPr>
            <w:tcW w:type="dxa" w:w="4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显示最近刷新时间与数据范围。</w:t>
            </w:r>
          </w:p>
        </w:tc>
      </w:tr>
      <w:tr>
        <w:tc>
          <w:tcPr>
            <w:tcW w:type="dxa" w:w="1150"/>
            <w:shd w:fill="F7FAFD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告警</w:t>
            </w:r>
          </w:p>
        </w:tc>
        <w:tc>
          <w:tcPr>
            <w:tcW w:type="dxa" w:w="4100"/>
            <w:shd w:fill="F7FAFD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红色用于阻断、故障、一级预警；橙色用于较高风险；黄色用于注意。</w:t>
            </w:r>
          </w:p>
        </w:tc>
        <w:tc>
          <w:tcPr>
            <w:tcW w:type="dxa" w:w="4250"/>
            <w:shd w:fill="F7FAFD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高风险卡片置顶，提供‘定位’和‘查看处置’。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加载</w:t>
            </w:r>
          </w:p>
        </w:tc>
        <w:tc>
          <w:tcPr>
            <w:tcW w:type="dxa" w:w="4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保留卡片骨架，避免布局跳动。</w:t>
            </w:r>
          </w:p>
        </w:tc>
        <w:tc>
          <w:tcPr>
            <w:tcW w:type="dxa" w:w="4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显示‘数据加载中’，超过阈值可重试。</w:t>
            </w:r>
          </w:p>
        </w:tc>
      </w:tr>
      <w:tr>
        <w:tc>
          <w:tcPr>
            <w:tcW w:type="dxa" w:w="1150"/>
            <w:shd w:fill="F7FAFD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空态</w:t>
            </w:r>
          </w:p>
        </w:tc>
        <w:tc>
          <w:tcPr>
            <w:tcW w:type="dxa" w:w="4100"/>
            <w:shd w:fill="F7FAFD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使用线性图标与浅色说明，不显示空图表。</w:t>
            </w:r>
          </w:p>
        </w:tc>
        <w:tc>
          <w:tcPr>
            <w:tcW w:type="dxa" w:w="4250"/>
            <w:shd w:fill="F7FAFD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示例：‘当前筛选条件下暂无未处置事件’。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异常</w:t>
            </w:r>
          </w:p>
        </w:tc>
        <w:tc>
          <w:tcPr>
            <w:tcW w:type="dxa" w:w="4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模块级错误提示，不遮挡地图与其他模块。</w:t>
            </w:r>
          </w:p>
        </w:tc>
        <w:tc>
          <w:tcPr>
            <w:tcW w:type="dxa" w:w="4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示例：‘设备数据暂不可用，已保留最近一次有效结果’。</w:t>
            </w:r>
          </w:p>
        </w:tc>
      </w:tr>
    </w:tbl>
    <w:p>
      <w:r>
        <w:br w:type="page"/>
      </w:r>
    </w:p>
    <w:p>
      <w:pPr>
        <w:pStyle w:val="Heading1"/>
        <w:keepNext/>
        <w:spacing w:before="300" w:after="160"/>
        <w:pBdr>
          <w:bottom w:val="single" w:sz="8" w:space="4" w:color="00B7F4"/>
        </w:pBdr>
      </w:pPr>
      <w:r>
        <w:rPr>
          <w:rFonts w:ascii="Calibri" w:hAnsi="Calibri" w:eastAsia="Microsoft YaHei"/>
          <w:b/>
          <w:color w:val="1E74D8"/>
          <w:sz w:val="32"/>
        </w:rPr>
        <w:t>5. 专题全屏页面</w:t>
      </w:r>
    </w:p>
    <w:p>
      <w:pPr>
        <w:pStyle w:val="Heading2"/>
        <w:keepNext/>
        <w:spacing w:before="200" w:after="100"/>
      </w:pPr>
      <w:r>
        <w:rPr>
          <w:rFonts w:ascii="Calibri" w:hAnsi="Calibri" w:eastAsia="Microsoft YaHei"/>
          <w:b/>
          <w:color w:val="1E74D8"/>
          <w:sz w:val="25"/>
        </w:rPr>
        <w:t>5.1 交通流及事件</w:t>
      </w:r>
    </w:p>
    <w:p>
      <w:pPr>
        <w:spacing w:before="0" w:after="120" w:line="283" w:lineRule="auto"/>
      </w:pPr>
      <w:r>
        <w:rPr>
          <w:rFonts w:ascii="Calibri" w:hAnsi="Calibri" w:eastAsia="Microsoft YaHei"/>
          <w:b w:val="0"/>
          <w:color w:val="15324D"/>
          <w:sz w:val="21"/>
        </w:rPr>
        <w:t>参考图采用三栏分析布局：左栏关注事件量与时效，中栏关注出入口流量与收费站排名，右栏关注断面流量与车型结构。整体适合用于事件复盘、早晚高峰研判和收费站运行分析。</w:t>
      </w:r>
    </w:p>
    <w:tbl>
      <w:tblPr>
        <w:tblStyle w:val="TableGrid"/>
        <w:tblW w:type="dxa" w:w="9500"/>
        <w:jc w:val="left"/>
        <w:tblLook w:firstColumn="1" w:firstRow="1" w:lastColumn="0" w:lastRow="0" w:noHBand="0" w:noVBand="1" w:val="04A0"/>
        <w:tblInd w:w="120" w:type="dxa"/>
      </w:tblPr>
      <w:tblGrid>
        <w:gridCol w:w="1100"/>
        <w:gridCol w:w="3400"/>
        <w:gridCol w:w="5000"/>
      </w:tblGrid>
      <w:t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8"/>
              </w:rPr>
              <w:t>区域</w:t>
            </w:r>
          </w:p>
        </w:tc>
        <w:tc>
          <w:tcPr>
            <w:tcW w:type="dxa" w:w="34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8"/>
              </w:rPr>
              <w:t>模块</w:t>
            </w:r>
          </w:p>
        </w:tc>
        <w:tc>
          <w:tcPr>
            <w:tcW w:type="dxa" w:w="50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8"/>
              </w:rPr>
              <w:t>关键字段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左栏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事件数量变化、事件类型分析、近 12 月时效分析、路段排行</w:t>
            </w:r>
          </w:p>
        </w:tc>
        <w:tc>
          <w:tcPr>
            <w:tcW w:type="dxa" w:w="5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今日/本周/本月/本年事件数、同比环比、上报/确认/处置/总计时效</w:t>
            </w:r>
          </w:p>
        </w:tc>
      </w:tr>
      <w:tr>
        <w:tc>
          <w:tcPr>
            <w:tcW w:type="dxa" w:w="1100"/>
            <w:shd w:fill="F7FAFD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中栏</w:t>
            </w:r>
          </w:p>
        </w:tc>
        <w:tc>
          <w:tcPr>
            <w:tcW w:type="dxa" w:w="3400"/>
            <w:shd w:fill="F7FAFD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出入口流量、近 13 月统计、收费站流量排行</w:t>
            </w:r>
          </w:p>
        </w:tc>
        <w:tc>
          <w:tcPr>
            <w:tcW w:type="dxa" w:w="5000"/>
            <w:shd w:fill="F7FAFD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客车/货车/总计、入口/出口、本年本月本日、收费站名称与分类流量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右栏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近 13 月断面流量、断面车型占比</w:t>
            </w:r>
          </w:p>
        </w:tc>
        <w:tc>
          <w:tcPr>
            <w:tcW w:type="dxa" w:w="5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断面名称、车型、入口/出口、占比滑杆与总量</w:t>
            </w:r>
          </w:p>
        </w:tc>
      </w:tr>
    </w:tbl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309360" cy="31315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c931f9bf-2017-4b02-b0d5-b68a46bb87f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315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3" w:lineRule="auto"/>
        <w:jc w:val="center"/>
      </w:pPr>
      <w:r>
        <w:rPr>
          <w:rFonts w:ascii="Calibri" w:hAnsi="Calibri" w:eastAsia="Microsoft YaHei"/>
          <w:b w:val="0"/>
          <w:color w:val="5D7184"/>
          <w:sz w:val="17"/>
        </w:rPr>
        <w:t>图 2 交通流及事件专题：以趋势图、排行表和车型占比支持复盘分析</w:t>
      </w:r>
    </w:p>
    <w:p>
      <w:pPr>
        <w:pStyle w:val="Heading2"/>
        <w:keepNext/>
        <w:spacing w:before="200" w:after="100"/>
      </w:pPr>
      <w:r>
        <w:rPr>
          <w:rFonts w:ascii="Calibri" w:hAnsi="Calibri" w:eastAsia="Microsoft YaHei"/>
          <w:b/>
          <w:color w:val="1E74D8"/>
          <w:sz w:val="25"/>
        </w:rPr>
        <w:t>5.2 养护巡查及运营</w:t>
      </w:r>
    </w:p>
    <w:p>
      <w:pPr>
        <w:spacing w:before="0" w:after="120" w:line="283" w:lineRule="auto"/>
      </w:pPr>
      <w:r>
        <w:rPr>
          <w:rFonts w:ascii="Calibri" w:hAnsi="Calibri" w:eastAsia="Microsoft YaHei"/>
          <w:b w:val="0"/>
          <w:color w:val="15324D"/>
          <w:sz w:val="21"/>
        </w:rPr>
        <w:t>参考图采用三栏运营布局：左侧统计施工规模与计划，中心滚动呈现关键结构物和视频，右侧展示值班人员与路产巡查。此页强化‘施工—设施—人员’的协同关系。</w:t>
      </w:r>
    </w:p>
    <w:tbl>
      <w:tblPr>
        <w:tblStyle w:val="TableGrid"/>
        <w:tblW w:type="dxa" w:w="9500"/>
        <w:jc w:val="left"/>
        <w:tblLook w:firstColumn="1" w:firstRow="1" w:lastColumn="0" w:lastRow="0" w:noHBand="0" w:noVBand="1" w:val="04A0"/>
        <w:tblInd w:w="120" w:type="dxa"/>
      </w:tblPr>
      <w:tblGrid>
        <w:gridCol w:w="1100"/>
        <w:gridCol w:w="3400"/>
        <w:gridCol w:w="5000"/>
      </w:tblGrid>
      <w:t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8"/>
              </w:rPr>
              <w:t>区域</w:t>
            </w:r>
          </w:p>
        </w:tc>
        <w:tc>
          <w:tcPr>
            <w:tcW w:type="dxa" w:w="34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8"/>
              </w:rPr>
              <w:t>模块</w:t>
            </w:r>
          </w:p>
        </w:tc>
        <w:tc>
          <w:tcPr>
            <w:tcW w:type="dxa" w:w="50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8"/>
              </w:rPr>
              <w:t>关键字段 / 操作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左栏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施工数量、施工位置、未来 30 日施工</w:t>
            </w:r>
          </w:p>
        </w:tc>
        <w:tc>
          <w:tcPr>
            <w:tcW w:type="dxa" w:w="5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临时养护 / 中大修，主线/桥梁/隧道/收费站/服务区分布，日期趋势</w:t>
            </w:r>
          </w:p>
        </w:tc>
      </w:tr>
      <w:tr>
        <w:tc>
          <w:tcPr>
            <w:tcW w:type="dxa" w:w="1100"/>
            <w:shd w:fill="F7FAFD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中栏</w:t>
            </w:r>
          </w:p>
        </w:tc>
        <w:tc>
          <w:tcPr>
            <w:tcW w:type="dxa" w:w="3400"/>
            <w:shd w:fill="F7FAFD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关键结构物列表</w:t>
            </w:r>
          </w:p>
        </w:tc>
        <w:tc>
          <w:tcPr>
            <w:tcW w:type="dxa" w:w="5000"/>
            <w:shd w:fill="F7FAFD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名称、类型、长度、天气、实时车流、上次告警、视频缩略图、告警状态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右栏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值班值守、路产巡查</w:t>
            </w:r>
          </w:p>
        </w:tc>
        <w:tc>
          <w:tcPr>
            <w:tcW w:type="dxa" w:w="5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值班领导 / 人员 / 电话、养护中心、巡查班组、班次、车辆、人员</w:t>
            </w:r>
          </w:p>
        </w:tc>
      </w:tr>
    </w:tbl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309360" cy="31315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7d9446bb-7f37-4727-b754-2e0f2f63429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315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3" w:lineRule="auto"/>
        <w:jc w:val="center"/>
      </w:pPr>
      <w:r>
        <w:rPr>
          <w:rFonts w:ascii="Calibri" w:hAnsi="Calibri" w:eastAsia="Microsoft YaHei"/>
          <w:b w:val="0"/>
          <w:color w:val="5D7184"/>
          <w:sz w:val="17"/>
        </w:rPr>
        <w:t>图 3 养护巡查及运营专题：以施工、结构物、值班巡查形成运营闭环</w:t>
      </w:r>
    </w:p>
    <w:p>
      <w:r>
        <w:br w:type="page"/>
      </w:r>
    </w:p>
    <w:p>
      <w:pPr>
        <w:pStyle w:val="Heading1"/>
        <w:keepNext/>
        <w:spacing w:before="300" w:after="160"/>
        <w:pBdr>
          <w:bottom w:val="single" w:sz="8" w:space="4" w:color="00B7F4"/>
        </w:pBdr>
      </w:pPr>
      <w:r>
        <w:rPr>
          <w:rFonts w:ascii="Calibri" w:hAnsi="Calibri" w:eastAsia="Microsoft YaHei"/>
          <w:b/>
          <w:color w:val="1E74D8"/>
          <w:sz w:val="32"/>
        </w:rPr>
        <w:t>6. 视觉语言与组件规范</w:t>
      </w:r>
    </w:p>
    <w:p>
      <w:pPr>
        <w:pStyle w:val="Heading2"/>
        <w:keepNext/>
        <w:spacing w:before="200" w:after="100"/>
      </w:pPr>
      <w:r>
        <w:rPr>
          <w:rFonts w:ascii="Calibri" w:hAnsi="Calibri" w:eastAsia="Microsoft YaHei"/>
          <w:b/>
          <w:color w:val="1E74D8"/>
          <w:sz w:val="25"/>
        </w:rPr>
        <w:t>6.1 颜色与风险映射</w:t>
      </w:r>
    </w:p>
    <w:tbl>
      <w:tblPr>
        <w:tblStyle w:val="TableGrid"/>
        <w:tblW w:type="dxa" w:w="9500"/>
        <w:jc w:val="left"/>
        <w:tblLook w:firstColumn="1" w:firstRow="1" w:lastColumn="0" w:lastRow="0" w:noHBand="0" w:noVBand="1" w:val="04A0"/>
        <w:tblInd w:w="120" w:type="dxa"/>
      </w:tblPr>
      <w:tblGrid>
        <w:gridCol w:w="1600"/>
        <w:gridCol w:w="2300"/>
        <w:gridCol w:w="5600"/>
      </w:tblGrid>
      <w:tr>
        <w:tc>
          <w:tcPr>
            <w:tcW w:type="dxa" w:w="16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8"/>
              </w:rPr>
              <w:t>角色</w:t>
            </w:r>
          </w:p>
        </w:tc>
        <w:tc>
          <w:tcPr>
            <w:tcW w:type="dxa" w:w="23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8"/>
              </w:rPr>
              <w:t>色值建议</w:t>
            </w:r>
          </w:p>
        </w:tc>
        <w:tc>
          <w:tcPr>
            <w:tcW w:type="dxa" w:w="56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8"/>
              </w:rPr>
              <w:t>使用边界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空间底色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#061526 / #0B1F33</w:t>
            </w:r>
          </w:p>
        </w:tc>
        <w:tc>
          <w:tcPr>
            <w:tcW w:type="dxa" w:w="5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页面底色、地图底色；禁止大面积纯黑。</w:t>
            </w:r>
          </w:p>
        </w:tc>
      </w:tr>
      <w:tr>
        <w:tc>
          <w:tcPr>
            <w:tcW w:type="dxa" w:w="1600"/>
            <w:shd w:fill="F7FAFD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主科技蓝</w:t>
            </w:r>
          </w:p>
        </w:tc>
        <w:tc>
          <w:tcPr>
            <w:tcW w:type="dxa" w:w="2300"/>
            <w:shd w:fill="F7FAFD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#1E74D8</w:t>
            </w:r>
          </w:p>
        </w:tc>
        <w:tc>
          <w:tcPr>
            <w:tcW w:type="dxa" w:w="5600"/>
            <w:shd w:fill="F7FAFD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选中态、关键线条、柱状图主系列、一级操作。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高亮青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#00B7F4 / #00CFD5</w:t>
            </w:r>
          </w:p>
        </w:tc>
        <w:tc>
          <w:tcPr>
            <w:tcW w:type="dxa" w:w="5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地图高亮、流量、正常在线、光效点缀。</w:t>
            </w:r>
          </w:p>
        </w:tc>
      </w:tr>
      <w:tr>
        <w:tc>
          <w:tcPr>
            <w:tcW w:type="dxa" w:w="1600"/>
            <w:shd w:fill="F7FAFD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正常</w:t>
            </w:r>
          </w:p>
        </w:tc>
        <w:tc>
          <w:tcPr>
            <w:tcW w:type="dxa" w:w="2300"/>
            <w:shd w:fill="F7FAFD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#24B47E</w:t>
            </w:r>
          </w:p>
        </w:tc>
        <w:tc>
          <w:tcPr>
            <w:tcW w:type="dxa" w:w="5600"/>
            <w:shd w:fill="F7FAFD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正常、已恢复、健康状态；不得与高亮青混用表达风险。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注意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#F5C542</w:t>
            </w:r>
          </w:p>
        </w:tc>
        <w:tc>
          <w:tcPr>
            <w:tcW w:type="dxa" w:w="5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轻度拥堵、黄色预警、待关注。</w:t>
            </w:r>
          </w:p>
        </w:tc>
      </w:tr>
      <w:tr>
        <w:tc>
          <w:tcPr>
            <w:tcW w:type="dxa" w:w="1600"/>
            <w:shd w:fill="F7FAFD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较高风险</w:t>
            </w:r>
          </w:p>
        </w:tc>
        <w:tc>
          <w:tcPr>
            <w:tcW w:type="dxa" w:w="2300"/>
            <w:shd w:fill="F7FAFD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#F28C38</w:t>
            </w:r>
          </w:p>
        </w:tc>
        <w:tc>
          <w:tcPr>
            <w:tcW w:type="dxa" w:w="5600"/>
            <w:shd w:fill="F7FAFD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中度风险、施工影响、橙色预警。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高风险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#D84A52</w:t>
            </w:r>
          </w:p>
        </w:tc>
        <w:tc>
          <w:tcPr>
            <w:tcW w:type="dxa" w:w="5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阻断、故障、红色预警、未处置关键事件。</w:t>
            </w:r>
          </w:p>
        </w:tc>
      </w:tr>
    </w:tbl>
    <w:p>
      <w:pPr>
        <w:pStyle w:val="Heading2"/>
        <w:keepNext/>
        <w:spacing w:before="200" w:after="100"/>
      </w:pPr>
      <w:r>
        <w:rPr>
          <w:rFonts w:ascii="Calibri" w:hAnsi="Calibri" w:eastAsia="Microsoft YaHei"/>
          <w:b/>
          <w:color w:val="1E74D8"/>
          <w:sz w:val="25"/>
        </w:rPr>
        <w:t>6.2 字体、间距与图表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YaHei"/>
          <w:b w:val="0"/>
          <w:color w:val="15324D"/>
          <w:sz w:val="20"/>
        </w:rPr>
        <w:t>中文优先使用 Microsoft YaHei / 思源黑体，数字使用 DIN Condensed 或等宽数字字体；数值与单位分层，核心数字加粗。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YaHei"/>
          <w:b w:val="0"/>
          <w:color w:val="15324D"/>
          <w:sz w:val="20"/>
        </w:rPr>
        <w:t>模块标题采用‘双斜杠 + 标题 + 下划线光带’；标题区高度建议 96–112 px，正文区采用 32 px 基准间距。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YaHei"/>
          <w:b w:val="0"/>
          <w:color w:val="15324D"/>
          <w:sz w:val="20"/>
        </w:rPr>
        <w:t>图表背景透明；网格线低对比度；最多使用 4 个业务系列，固定颜色映射并在所有专题保持一致。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YaHei"/>
          <w:b w:val="0"/>
          <w:color w:val="15324D"/>
          <w:sz w:val="20"/>
        </w:rPr>
        <w:t>环图仅用于占比和健康度；当分类超过 5 项时改为横向条形图或排序列表，避免图例拥挤。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YaHei"/>
          <w:b w:val="0"/>
          <w:color w:val="15324D"/>
          <w:sz w:val="20"/>
        </w:rPr>
        <w:t>表格行高建议 ≥ 64 px；表头 64–72 px；斑马纹透明度低于 12%；长位置字段允许截断并提供悬浮全量文本。</w:t>
      </w:r>
    </w:p>
    <w:p>
      <w:pPr>
        <w:pStyle w:val="Heading2"/>
        <w:keepNext/>
        <w:spacing w:before="200" w:after="100"/>
      </w:pPr>
      <w:r>
        <w:rPr>
          <w:rFonts w:ascii="Calibri" w:hAnsi="Calibri" w:eastAsia="Microsoft YaHei"/>
          <w:b/>
          <w:color w:val="1E74D8"/>
          <w:sz w:val="25"/>
        </w:rPr>
        <w:t>6.3 通用组件规格</w:t>
      </w:r>
    </w:p>
    <w:tbl>
      <w:tblPr>
        <w:tblStyle w:val="TableGrid"/>
        <w:tblW w:type="dxa" w:w="9500"/>
        <w:jc w:val="left"/>
        <w:tblLook w:firstColumn="1" w:firstRow="1" w:lastColumn="0" w:lastRow="0" w:noHBand="0" w:noVBand="1" w:val="04A0"/>
        <w:tblInd w:w="120" w:type="dxa"/>
      </w:tblPr>
      <w:tblGrid>
        <w:gridCol w:w="1600"/>
        <w:gridCol w:w="3200"/>
        <w:gridCol w:w="4700"/>
      </w:tblGrid>
      <w:tr>
        <w:tc>
          <w:tcPr>
            <w:tcW w:type="dxa" w:w="16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8"/>
              </w:rPr>
              <w:t>组件</w:t>
            </w:r>
          </w:p>
        </w:tc>
        <w:tc>
          <w:tcPr>
            <w:tcW w:type="dxa" w:w="32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8"/>
              </w:rPr>
              <w:t>尺寸 / 形态</w:t>
            </w:r>
          </w:p>
        </w:tc>
        <w:tc>
          <w:tcPr>
            <w:tcW w:type="dxa" w:w="47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8"/>
              </w:rPr>
              <w:t>使用规则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模块容器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描边 1 px；圆角 12–16 px；内边距 24–32 px</w:t>
            </w:r>
          </w:p>
        </w:tc>
        <w:tc>
          <w:tcPr>
            <w:tcW w:type="dxa" w:w="4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采用深蓝半透明渐变，阴影只用于焦点层级。</w:t>
            </w:r>
          </w:p>
        </w:tc>
      </w:tr>
      <w:tr>
        <w:tc>
          <w:tcPr>
            <w:tcW w:type="dxa" w:w="1600"/>
            <w:shd w:fill="F7FAFD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KPI 数字</w:t>
            </w:r>
          </w:p>
        </w:tc>
        <w:tc>
          <w:tcPr>
            <w:tcW w:type="dxa" w:w="3200"/>
            <w:shd w:fill="F7FAFD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数字 64–88 px；单位 28–34 px</w:t>
            </w:r>
          </w:p>
        </w:tc>
        <w:tc>
          <w:tcPr>
            <w:tcW w:type="dxa" w:w="4700"/>
            <w:shd w:fill="F7FAFD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数字与单位基线对齐；风险数字使用语义色。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Tab / 筛选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高度 48–56 px；水平间距 12–16 px</w:t>
            </w:r>
          </w:p>
        </w:tc>
        <w:tc>
          <w:tcPr>
            <w:tcW w:type="dxa" w:w="4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选中有填充且可识别，不只依赖颜色。</w:t>
            </w:r>
          </w:p>
        </w:tc>
      </w:tr>
      <w:tr>
        <w:tc>
          <w:tcPr>
            <w:tcW w:type="dxa" w:w="1600"/>
            <w:shd w:fill="F7FAFD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地图标注</w:t>
            </w:r>
          </w:p>
        </w:tc>
        <w:tc>
          <w:tcPr>
            <w:tcW w:type="dxa" w:w="3200"/>
            <w:shd w:fill="F7FAFD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主标注 30–34 px；点位图标 44–56 px</w:t>
            </w:r>
          </w:p>
        </w:tc>
        <w:tc>
          <w:tcPr>
            <w:tcW w:type="dxa" w:w="4700"/>
            <w:shd w:fill="F7FAFD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相邻标注自动避让；同屏只突出高优先级对象。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视频缩略图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16:9；最小 260 × 146 px</w:t>
            </w:r>
          </w:p>
        </w:tc>
        <w:tc>
          <w:tcPr>
            <w:tcW w:type="dxa" w:w="4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无流时显示摄像机状态与重连操作，不显示纯黑占位。</w:t>
            </w:r>
          </w:p>
        </w:tc>
      </w:tr>
    </w:tbl>
    <w:p>
      <w:r>
        <w:br w:type="page"/>
      </w:r>
    </w:p>
    <w:p>
      <w:pPr>
        <w:pStyle w:val="Heading1"/>
        <w:keepNext/>
        <w:spacing w:before="300" w:after="160"/>
        <w:pBdr>
          <w:bottom w:val="single" w:sz="8" w:space="4" w:color="00B7F4"/>
        </w:pBdr>
      </w:pPr>
      <w:r>
        <w:rPr>
          <w:rFonts w:ascii="Calibri" w:hAnsi="Calibri" w:eastAsia="Microsoft YaHei"/>
          <w:b/>
          <w:color w:val="1E74D8"/>
          <w:sz w:val="32"/>
        </w:rPr>
        <w:t>7. 交互、数据与刷新策略</w:t>
      </w:r>
    </w:p>
    <w:p>
      <w:pPr>
        <w:pStyle w:val="Heading2"/>
        <w:keepNext/>
        <w:spacing w:before="200" w:after="100"/>
      </w:pPr>
      <w:r>
        <w:rPr>
          <w:rFonts w:ascii="Calibri" w:hAnsi="Calibri" w:eastAsia="Microsoft YaHei"/>
          <w:b/>
          <w:color w:val="1E74D8"/>
          <w:sz w:val="25"/>
        </w:rPr>
        <w:t>7.1 关键交互链路</w:t>
      </w:r>
    </w:p>
    <w:tbl>
      <w:tblPr>
        <w:tblStyle w:val="TableGrid"/>
        <w:tblW w:type="dxa" w:w="9500"/>
        <w:jc w:val="left"/>
        <w:tblLook w:firstColumn="1" w:firstRow="1" w:lastColumn="0" w:lastRow="0" w:noHBand="0" w:noVBand="1" w:val="04A0"/>
        <w:tblInd w:w="120" w:type="dxa"/>
      </w:tblPr>
      <w:tblGrid>
        <w:gridCol w:w="1800"/>
        <w:gridCol w:w="4000"/>
        <w:gridCol w:w="3700"/>
      </w:tblGrid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8"/>
              </w:rPr>
              <w:t>触发</w:t>
            </w:r>
          </w:p>
        </w:tc>
        <w:tc>
          <w:tcPr>
            <w:tcW w:type="dxa" w:w="40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8"/>
              </w:rPr>
              <w:t>系统反馈</w:t>
            </w:r>
          </w:p>
        </w:tc>
        <w:tc>
          <w:tcPr>
            <w:tcW w:type="dxa" w:w="37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8"/>
              </w:rPr>
              <w:t>后续动作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点击左栏风险指标</w:t>
            </w:r>
          </w:p>
        </w:tc>
        <w:tc>
          <w:tcPr>
            <w:tcW w:type="dxa" w:w="4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地图按对象类型过滤并高亮，右栏切换对应专题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点击列表项打开对象浮卡或详情。</w:t>
            </w:r>
          </w:p>
        </w:tc>
      </w:tr>
      <w:tr>
        <w:tc>
          <w:tcPr>
            <w:tcW w:type="dxa" w:w="1800"/>
            <w:shd w:fill="F7FAFD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点击顶部设施 KPI</w:t>
            </w:r>
          </w:p>
        </w:tc>
        <w:tc>
          <w:tcPr>
            <w:tcW w:type="dxa" w:w="4000"/>
            <w:shd w:fill="F7FAFD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地图聚焦该设施类型并显示数量 / 异常摘要</w:t>
            </w:r>
          </w:p>
        </w:tc>
        <w:tc>
          <w:tcPr>
            <w:tcW w:type="dxa" w:w="3700"/>
            <w:shd w:fill="F7FAFD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支持继续筛选桥、隧、收费站、服务区。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点击地图事件点</w:t>
            </w:r>
          </w:p>
        </w:tc>
        <w:tc>
          <w:tcPr>
            <w:tcW w:type="dxa" w:w="4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显示事件浮卡与影响范围，右栏定位明细行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查看视频、处置过程、关联管制与附近资源。</w:t>
            </w:r>
          </w:p>
        </w:tc>
      </w:tr>
      <w:tr>
        <w:tc>
          <w:tcPr>
            <w:tcW w:type="dxa" w:w="1800"/>
            <w:shd w:fill="F7FAFD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切换右栏 Tab</w:t>
            </w:r>
          </w:p>
        </w:tc>
        <w:tc>
          <w:tcPr>
            <w:tcW w:type="dxa" w:w="4000"/>
            <w:shd w:fill="F7FAFD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保留当前地图视野与图层，更新右栏数据</w:t>
            </w:r>
          </w:p>
        </w:tc>
        <w:tc>
          <w:tcPr>
            <w:tcW w:type="dxa" w:w="3700"/>
            <w:shd w:fill="F7FAFD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不刷新全页，避免值守视线中断。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选择时间 / 路段 / 收费站</w:t>
            </w:r>
          </w:p>
        </w:tc>
        <w:tc>
          <w:tcPr>
            <w:tcW w:type="dxa" w:w="4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所有相关图表显示统一口径和加载状态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筛选条件在专题顶部可见，可一键清除。</w:t>
            </w:r>
          </w:p>
        </w:tc>
      </w:tr>
    </w:tbl>
    <w:p>
      <w:pPr>
        <w:pStyle w:val="Heading2"/>
        <w:keepNext/>
        <w:spacing w:before="200" w:after="100"/>
      </w:pPr>
      <w:r>
        <w:rPr>
          <w:rFonts w:ascii="Calibri" w:hAnsi="Calibri" w:eastAsia="Microsoft YaHei"/>
          <w:b/>
          <w:color w:val="1E74D8"/>
          <w:sz w:val="25"/>
        </w:rPr>
        <w:t>7.2 数据刷新与可信度</w:t>
      </w:r>
    </w:p>
    <w:tbl>
      <w:tblPr>
        <w:tblStyle w:val="TableGrid"/>
        <w:tblW w:type="dxa" w:w="9500"/>
        <w:jc w:val="left"/>
        <w:tblLook w:firstColumn="1" w:firstRow="1" w:lastColumn="0" w:lastRow="0" w:noHBand="0" w:noVBand="1" w:val="04A0"/>
        <w:tblInd w:w="120" w:type="dxa"/>
      </w:tblPr>
      <w:tblGrid>
        <w:gridCol w:w="2500"/>
        <w:gridCol w:w="2200"/>
        <w:gridCol w:w="4800"/>
      </w:tblGrid>
      <w:tr>
        <w:tc>
          <w:tcPr>
            <w:tcW w:type="dxa" w:w="25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8"/>
              </w:rPr>
              <w:t>数据类型</w:t>
            </w:r>
          </w:p>
        </w:tc>
        <w:tc>
          <w:tcPr>
            <w:tcW w:type="dxa" w:w="22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8"/>
              </w:rPr>
              <w:t>建议刷新</w:t>
            </w:r>
          </w:p>
        </w:tc>
        <w:tc>
          <w:tcPr>
            <w:tcW w:type="dxa" w:w="4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8"/>
              </w:rPr>
              <w:t>表现方式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实时事件、管制、设备告警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15–30 秒或消息推送</w:t>
            </w:r>
          </w:p>
        </w:tc>
        <w:tc>
          <w:tcPr>
            <w:tcW w:type="dxa" w:w="4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模块显示‘数据截至 HH:mm:ss’；新入事件弱闪烁一次后静止。</w:t>
            </w:r>
          </w:p>
        </w:tc>
      </w:tr>
      <w:tr>
        <w:tc>
          <w:tcPr>
            <w:tcW w:type="dxa" w:w="2500"/>
            <w:shd w:fill="F7FAFD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交通流、断面、收费站</w:t>
            </w:r>
          </w:p>
        </w:tc>
        <w:tc>
          <w:tcPr>
            <w:tcW w:type="dxa" w:w="2200"/>
            <w:shd w:fill="F7FAFD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1–5 分钟</w:t>
            </w:r>
          </w:p>
        </w:tc>
        <w:tc>
          <w:tcPr>
            <w:tcW w:type="dxa" w:w="4800"/>
            <w:shd w:fill="F7FAFD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曲线平滑更新，显示数据周期与统计口径。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气象预警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5 分钟 + 预警推送</w:t>
            </w:r>
          </w:p>
        </w:tc>
        <w:tc>
          <w:tcPr>
            <w:tcW w:type="dxa" w:w="4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有预警立即更新卡片；过期预警自动置灰并归档。</w:t>
            </w:r>
          </w:p>
        </w:tc>
      </w:tr>
      <w:tr>
        <w:tc>
          <w:tcPr>
            <w:tcW w:type="dxa" w:w="2500"/>
            <w:shd w:fill="F7FAFD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桥隧监测与健康度</w:t>
            </w:r>
          </w:p>
        </w:tc>
        <w:tc>
          <w:tcPr>
            <w:tcW w:type="dxa" w:w="2200"/>
            <w:shd w:fill="F7FAFD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1–5 分钟 / 阈值触发</w:t>
            </w:r>
          </w:p>
        </w:tc>
        <w:tc>
          <w:tcPr>
            <w:tcW w:type="dxa" w:w="4800"/>
            <w:shd w:fill="F7FAFD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显示传感器在线率、最后采集时间和异常阈值来源。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施工计划、值班、巡查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按业务提交 / 日更新</w:t>
            </w:r>
          </w:p>
        </w:tc>
        <w:tc>
          <w:tcPr>
            <w:tcW w:type="dxa" w:w="4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标注计划日期与数据来源，避免与实时数据混淆。</w:t>
            </w:r>
          </w:p>
        </w:tc>
      </w:tr>
    </w:tbl>
    <w:tbl>
      <w:tblPr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FF7FD" w:val="clear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D84A52"/>
                <w:sz w:val="21"/>
              </w:rPr>
              <w:t xml:space="preserve">安全态势评分建议  </w:t>
            </w:r>
            <w:r>
              <w:rPr>
                <w:rFonts w:ascii="Calibri" w:hAnsi="Calibri" w:eastAsia="Microsoft YaHei"/>
                <w:b w:val="0"/>
                <w:color w:val="15324D"/>
                <w:sz w:val="20"/>
              </w:rPr>
              <w:t>将事件严重度、交通影响、气象等级、结构物异常、设备故障和处置时效归一为 0–100 分；大屏展示等级与贡献项，不建议只展示单一分数。</w:t>
            </w:r>
          </w:p>
        </w:tc>
      </w:tr>
    </w:tbl>
    <w:p>
      <w:r>
        <w:br w:type="page"/>
      </w:r>
    </w:p>
    <w:p>
      <w:pPr>
        <w:pStyle w:val="Heading1"/>
        <w:keepNext/>
        <w:spacing w:before="300" w:after="160"/>
        <w:pBdr>
          <w:bottom w:val="single" w:sz="8" w:space="4" w:color="00B7F4"/>
        </w:pBdr>
      </w:pPr>
      <w:r>
        <w:rPr>
          <w:rFonts w:ascii="Calibri" w:hAnsi="Calibri" w:eastAsia="Microsoft YaHei"/>
          <w:b/>
          <w:color w:val="1E74D8"/>
          <w:sz w:val="32"/>
        </w:rPr>
        <w:t>8. 开发验收清单</w:t>
      </w:r>
    </w:p>
    <w:tbl>
      <w:tblPr>
        <w:tblStyle w:val="TableGrid"/>
        <w:tblW w:type="dxa" w:w="9560"/>
        <w:jc w:val="left"/>
        <w:tblLook w:firstColumn="1" w:firstRow="1" w:lastColumn="0" w:lastRow="0" w:noHBand="0" w:noVBand="1" w:val="04A0"/>
        <w:tblInd w:w="120" w:type="dxa"/>
      </w:tblPr>
      <w:tblGrid>
        <w:gridCol w:w="1900"/>
        <w:gridCol w:w="7660"/>
      </w:tblGrid>
      <w:tr>
        <w:tc>
          <w:tcPr>
            <w:tcW w:type="dxa" w:w="1900"/>
            <w:shd w:fill="EAF5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8"/>
              </w:rPr>
              <w:t>验收维度</w:t>
            </w:r>
          </w:p>
        </w:tc>
        <w:tc>
          <w:tcPr>
            <w:tcW w:type="dxa" w:w="7660"/>
            <w:shd w:fill="EAF5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8"/>
              </w:rPr>
              <w:t>验收点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画布与拼接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以 9568 × 2808 无滚动展示；核心信息不压缝；在实际拼接屏上完成色彩与亮度校准。</w:t>
            </w:r>
          </w:p>
        </w:tc>
      </w:tr>
      <w:tr>
        <w:tc>
          <w:tcPr>
            <w:tcW w:type="dxa" w:w="1900"/>
            <w:shd w:fill="F7FAFD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可读性</w:t>
            </w:r>
          </w:p>
        </w:tc>
        <w:tc>
          <w:tcPr>
            <w:tcW w:type="dxa" w:w="7660"/>
            <w:shd w:fill="F7FAFD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3 米外可识别主标题、核心数字与红橙黄告警；非核心文字在运维距离可读。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信息一致性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同一事件在左栏、地图、右栏的编号、等级、位置和时间一致；筛选条件全局可见。</w:t>
            </w:r>
          </w:p>
        </w:tc>
      </w:tr>
      <w:tr>
        <w:tc>
          <w:tcPr>
            <w:tcW w:type="dxa" w:w="1900"/>
            <w:shd w:fill="F7FAFD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状态完整性</w:t>
            </w:r>
          </w:p>
        </w:tc>
        <w:tc>
          <w:tcPr>
            <w:tcW w:type="dxa" w:w="7660"/>
            <w:shd w:fill="F7FAFD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每个专题均具备默认、加载、空态、异常、权限不足五类状态，不出现空白区域。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风险语义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红/橙/黄/绿的含义统一；不能仅依靠颜色表达状态；色盲模式下仍可用图标或文字区分。</w:t>
            </w:r>
          </w:p>
        </w:tc>
      </w:tr>
      <w:tr>
        <w:tc>
          <w:tcPr>
            <w:tcW w:type="dxa" w:w="1900"/>
            <w:shd w:fill="F7FAFD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性能</w:t>
            </w:r>
          </w:p>
        </w:tc>
        <w:tc>
          <w:tcPr>
            <w:tcW w:type="dxa" w:w="7660"/>
            <w:shd w:fill="F7FAFD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首屏骨架快速呈现；地图操作不阻塞右栏；高频推送采用增量更新，避免整页闪烁。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数据口径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每项统计可查看时间范围、来源、刷新时间和口径说明；异常数据保留降级提示。</w:t>
            </w:r>
          </w:p>
        </w:tc>
      </w:tr>
      <w:tr>
        <w:tc>
          <w:tcPr>
            <w:tcW w:type="dxa" w:w="1900"/>
            <w:shd w:fill="F7FAFD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操作闭环</w:t>
            </w:r>
          </w:p>
        </w:tc>
        <w:tc>
          <w:tcPr>
            <w:tcW w:type="dxa" w:w="7660"/>
            <w:shd w:fill="F7FAFD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15324D"/>
                <w:sz w:val="18"/>
              </w:rPr>
              <w:t>事件、管制、结构物、设备均可从总览定位至详情，并能进入视频或处置流程。</w:t>
            </w:r>
          </w:p>
        </w:tc>
      </w:tr>
    </w:tbl>
    <w:p>
      <w:pPr>
        <w:pStyle w:val="Heading2"/>
        <w:keepNext/>
        <w:spacing w:before="200" w:after="100"/>
      </w:pPr>
      <w:r>
        <w:rPr>
          <w:rFonts w:ascii="Calibri" w:hAnsi="Calibri" w:eastAsia="Microsoft YaHei"/>
          <w:b/>
          <w:color w:val="1E74D8"/>
          <w:sz w:val="25"/>
        </w:rPr>
        <w:t>8.1 交付物建议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YaHei"/>
          <w:b w:val="0"/>
          <w:color w:val="15324D"/>
          <w:sz w:val="20"/>
        </w:rPr>
        <w:t>9568 × 2808 像素高保真主概览页及右侧 6 个专题状态稿。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YaHei"/>
          <w:b w:val="0"/>
          <w:color w:val="15324D"/>
          <w:sz w:val="20"/>
        </w:rPr>
        <w:t>交通流及事件、养护巡查及运营两套全屏专题高保真稿。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YaHei"/>
          <w:b w:val="0"/>
          <w:color w:val="15324D"/>
          <w:sz w:val="20"/>
        </w:rPr>
        <w:t>设计 Token、图表色板、图标库、组件状态与前端标注。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YaHei"/>
          <w:b w:val="0"/>
          <w:color w:val="15324D"/>
          <w:sz w:val="20"/>
        </w:rPr>
        <w:t>地图图层字典、对象字段字典、事件等级与告警文案规范。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FF7FD" w:val="clear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F5A623"/>
                <w:sz w:val="21"/>
              </w:rPr>
              <w:t xml:space="preserve">本次梳理边界  </w:t>
            </w:r>
            <w:r>
              <w:rPr>
                <w:rFonts w:ascii="Calibri" w:hAnsi="Calibri" w:eastAsia="Microsoft YaHei"/>
                <w:b w:val="0"/>
                <w:color w:val="15324D"/>
                <w:sz w:val="20"/>
              </w:rPr>
              <w:t>本文档基于提供的 G70 参考界面归纳为‘陕西交控路网安全态势感知’的 UI 方案；具体业务指标阈值、路网数据源、接口口径和实际屏体拼缝参数需在实施阶段与业务、数据及硬件团队联合确认。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979" w:left="1037" w:header="461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b w:val="0"/>
        <w:color w:val="5D7184"/>
        <w:sz w:val="17"/>
      </w:rPr>
      <w:t>陕西交控路网安全态势感知大屏 · 设计基线 9568 × 2808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Microsoft YaHei"/>
        <w:b w:val="0"/>
        <w:color w:val="5D7184"/>
        <w:sz w:val="17"/>
      </w:rPr>
      <w:t>陕西交控路网安全态势感知 | UI设计文档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陕西交控路网安全态势感知大屏 UI 设计文档</dc:title>
  <dc:subject>9568×2808 超宽大屏 UI 设计规范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