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2"/>
        </w:rPr>
        <w:t>OPERATOR GUIDE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56"/>
        </w:rPr>
        <w:t>Token API 成本测算工具</w:t>
      </w:r>
    </w:p>
    <w:p>
      <w:pPr>
        <w:spacing w:after="680"/>
        <w:jc w:val="center"/>
      </w:pPr>
      <w:r>
        <w:rPr>
          <w:rFonts w:ascii="Calibri" w:hAnsi="Calibri" w:eastAsia="Microsoft YaHei"/>
          <w:color w:val="667085"/>
          <w:sz w:val="28"/>
        </w:rPr>
        <w:t>使用指南 · v3.1 硬件池、完整副本与压测校准</w:t>
      </w: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center"/>
      </w:pPr>
      <w:r>
        <w:rPr>
          <w:rFonts w:ascii="Calibri" w:hAnsi="Calibri" w:eastAsia="Microsoft YaHei"/>
          <w:b/>
          <w:color w:val="1F4D78"/>
          <w:sz w:val="22"/>
        </w:rPr>
        <w:t>理论上限 → 工程预设 → 严格匹配压测 → 成本与报价</w:t>
      </w:r>
    </w:p>
    <w:p>
      <w:pPr>
        <w:spacing w:before="720" w:after="80"/>
        <w:jc w:val="center"/>
      </w:pPr>
      <w:r>
        <w:rPr>
          <w:rFonts w:ascii="Calibri" w:hAnsi="Calibri" w:eastAsia="Microsoft YaHei"/>
          <w:b/>
          <w:color w:val="1D2939"/>
          <w:sz w:val="22"/>
        </w:rPr>
        <w:t>版本 v3.0</w:t>
      </w:r>
    </w:p>
    <w:p>
      <w:pPr>
        <w:jc w:val="center"/>
      </w:pPr>
      <w:r>
        <w:rPr>
          <w:rFonts w:ascii="Calibri" w:hAnsi="Calibri" w:eastAsia="Microsoft YaHei"/>
          <w:color w:val="667085"/>
          <w:sz w:val="20"/>
        </w:rPr>
        <w:t>更新日期：2026-08-05</w:t>
      </w:r>
    </w:p>
    <w:p>
      <w:r>
        <w:br w:type="page"/>
      </w:r>
    </w:p>
    <w:p>
      <w:pPr>
        <w:pStyle w:val="Heading1"/>
      </w:pPr>
      <w:r>
        <w:t>1. 工具定位</w:t>
      </w: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1F4D78"/>
          <w:sz w:val="22"/>
        </w:rPr>
        <w:t>核心口径：</w:t>
      </w:r>
      <w:r>
        <w:rPr>
          <w:rFonts w:ascii="Calibri" w:hAnsi="Calibri" w:eastAsia="Microsoft YaHei"/>
          <w:color w:val="1D2939"/>
          <w:sz w:val="22"/>
        </w:rPr>
        <w:t>理论上限只用于容量边界；无压测时使用工程场景预设和 Amdahl 非线性扩展；存在严格匹配压测时，单机整机 TPS 或多机完整副本 TPS 自动覆盖估算。</w:t>
      </w:r>
    </w:p>
    <w:p>
      <w:r>
        <w:t>本工具用于估算模型部署所需资源、Aggregate Output TPS、月输出 Token、每百万输出 Token 的硬件成本及建议报价。结果用于容量规划，不替代正式 SLA 压测。</w:t>
      </w:r>
    </w:p>
    <w:p>
      <w:pPr>
        <w:pStyle w:val="Heading1"/>
      </w:pPr>
      <w:r>
        <w:t>2. 快速使用流程</w:t>
      </w:r>
    </w:p>
    <w:p>
      <w:pPr>
        <w:pStyle w:val="Heading2"/>
        <w:spacing w:before="200"/>
      </w:pPr>
      <w:r>
        <w:rPr>
          <w:rFonts w:ascii="Calibri" w:hAnsi="Calibri" w:eastAsia="Microsoft YaHei"/>
          <w:b/>
          <w:color w:val="2E74B5"/>
          <w:sz w:val="26"/>
        </w:rPr>
        <w:t>1. 选择模型</w:t>
      </w:r>
    </w:p>
    <w:p>
      <w:pPr>
        <w:spacing w:after="140"/>
        <w:ind w:left="259"/>
      </w:pPr>
      <w:r>
        <w:t>从模型分类中选择预设，或手动填写模型名称、总参数和每 Token 激活参数，并保存为浏览器本地预设。</w:t>
      </w:r>
    </w:p>
    <w:p>
      <w:pPr>
        <w:pStyle w:val="Heading2"/>
        <w:spacing w:before="200"/>
      </w:pPr>
      <w:r>
        <w:rPr>
          <w:rFonts w:ascii="Calibri" w:hAnsi="Calibri" w:eastAsia="Microsoft YaHei"/>
          <w:b/>
          <w:color w:val="2E74B5"/>
          <w:sz w:val="26"/>
        </w:rPr>
        <w:t>2. 选择权重精度</w:t>
      </w:r>
    </w:p>
    <w:p>
      <w:pPr>
        <w:spacing w:after="140"/>
        <w:ind w:left="259"/>
      </w:pPr>
      <w:r>
        <w:t>BF16/FP16、FP8、INT4/MXFP4 影响权重显存；量化算力倍率没有实测时保持 1.00。</w:t>
      </w:r>
    </w:p>
    <w:p>
      <w:pPr>
        <w:pStyle w:val="Heading2"/>
        <w:spacing w:before="200"/>
      </w:pPr>
      <w:r>
        <w:rPr>
          <w:rFonts w:ascii="Calibri" w:hAnsi="Calibri" w:eastAsia="Microsoft YaHei"/>
          <w:b/>
          <w:color w:val="2E74B5"/>
          <w:sz w:val="26"/>
        </w:rPr>
        <w:t>3. 选择硬件</w:t>
      </w:r>
    </w:p>
    <w:p>
      <w:pPr>
        <w:spacing w:after="140"/>
        <w:ind w:left="259"/>
      </w:pPr>
      <w:r>
        <w:t>优先选择已核实的整机预设。Ascend 910C 预设锁定为 8 卡/节点；选择自定义整机后，必须重新确认规格和合同月租。</w:t>
      </w:r>
    </w:p>
    <w:p>
      <w:pPr>
        <w:pStyle w:val="Heading2"/>
        <w:spacing w:before="200"/>
      </w:pPr>
      <w:r>
        <w:rPr>
          <w:rFonts w:ascii="Calibri" w:hAnsi="Calibri" w:eastAsia="Microsoft YaHei"/>
          <w:b/>
          <w:color w:val="2E74B5"/>
          <w:sz w:val="26"/>
        </w:rPr>
        <w:t>4. 选择部署模式</w:t>
      </w:r>
    </w:p>
    <w:p>
      <w:pPr>
        <w:spacing w:after="140"/>
        <w:ind w:left="259"/>
      </w:pPr>
      <w:r>
        <w:t>单机填写当前机器实际卡数；多机分别填写单副本拓扑节点数、单副本实际总卡数和规划副本数。</w:t>
      </w:r>
    </w:p>
    <w:p>
      <w:pPr>
        <w:pStyle w:val="Heading2"/>
        <w:spacing w:before="200"/>
      </w:pPr>
      <w:r>
        <w:rPr>
          <w:rFonts w:ascii="Calibri" w:hAnsi="Calibri" w:eastAsia="Microsoft YaHei"/>
          <w:b/>
          <w:color w:val="2E74B5"/>
          <w:sz w:val="26"/>
        </w:rPr>
        <w:t>5. 选择硬件扩容方式</w:t>
      </w:r>
    </w:p>
    <w:p>
      <w:pPr>
        <w:spacing w:after="140"/>
        <w:ind w:left="259"/>
      </w:pPr>
      <w:r>
        <w:t>默认选择“同步增加硬件”；也可使用固定节点池。只有部署或压测已验证整张空卡可共用时，才在高级设置中填写每组可运行副本数。</w:t>
      </w:r>
    </w:p>
    <w:p>
      <w:pPr>
        <w:pStyle w:val="Heading2"/>
        <w:spacing w:before="200"/>
      </w:pPr>
      <w:r>
        <w:rPr>
          <w:rFonts w:ascii="Calibri" w:hAnsi="Calibri" w:eastAsia="Microsoft YaHei"/>
          <w:b/>
          <w:color w:val="2E74B5"/>
          <w:sz w:val="26"/>
        </w:rPr>
        <w:t>6. 选择估算模板</w:t>
      </w:r>
    </w:p>
    <w:p>
      <w:pPr>
        <w:spacing w:after="140"/>
        <w:ind w:left="259"/>
      </w:pPr>
      <w:r>
        <w:t>无压测时优先使用“在线均衡”；交互低并发和吞吐优先用于敏感性比较。</w:t>
      </w:r>
    </w:p>
    <w:p>
      <w:pPr>
        <w:pStyle w:val="Heading2"/>
        <w:spacing w:before="200"/>
      </w:pPr>
      <w:r>
        <w:rPr>
          <w:rFonts w:ascii="Calibri" w:hAnsi="Calibri" w:eastAsia="Microsoft YaHei"/>
          <w:b/>
          <w:color w:val="2E74B5"/>
          <w:sz w:val="26"/>
        </w:rPr>
        <w:t>7. 填写计费</w:t>
      </w:r>
    </w:p>
    <w:p>
      <w:pPr>
        <w:spacing w:after="140"/>
        <w:ind w:left="259"/>
      </w:pPr>
      <w:r>
        <w:t>根据合同选择按整节点或按实际卡数计费，并填写对应月租。</w:t>
      </w:r>
    </w:p>
    <w:p>
      <w:pPr>
        <w:pStyle w:val="Heading2"/>
        <w:spacing w:before="200"/>
      </w:pPr>
      <w:r>
        <w:rPr>
          <w:rFonts w:ascii="Calibri" w:hAnsi="Calibri" w:eastAsia="Microsoft YaHei"/>
          <w:b/>
          <w:color w:val="2E74B5"/>
          <w:sz w:val="26"/>
        </w:rPr>
        <w:t>8. 选择测算模式</w:t>
      </w:r>
    </w:p>
    <w:p>
      <w:pPr>
        <w:spacing w:after="140"/>
        <w:ind w:left="259"/>
      </w:pPr>
      <w:r>
        <w:t>容量模式计算现有配置的可持续产能；QPS 模式根据业务需求自动反算服务副本。</w:t>
      </w:r>
    </w:p>
    <w:p>
      <w:pPr>
        <w:pStyle w:val="Heading2"/>
        <w:spacing w:before="200"/>
      </w:pPr>
      <w:r>
        <w:rPr>
          <w:rFonts w:ascii="Calibri" w:hAnsi="Calibri" w:eastAsia="Microsoft YaHei"/>
          <w:b/>
          <w:color w:val="2E74B5"/>
          <w:sz w:val="26"/>
        </w:rPr>
        <w:t>9. 检查有效性</w:t>
      </w:r>
    </w:p>
    <w:p>
      <w:pPr>
        <w:spacing w:after="140"/>
        <w:ind w:left="259"/>
      </w:pPr>
      <w:r>
        <w:t>先确认权重显存、单机卡数上限、单副本卡分布、付费池容量、拓扑和计费配置均通过校验。</w:t>
      </w:r>
    </w:p>
    <w:p>
      <w:pPr>
        <w:pStyle w:val="Heading2"/>
        <w:spacing w:before="200"/>
      </w:pPr>
      <w:r>
        <w:rPr>
          <w:rFonts w:ascii="Calibri" w:hAnsi="Calibri" w:eastAsia="Microsoft YaHei"/>
          <w:b/>
          <w:color w:val="2E74B5"/>
          <w:sz w:val="26"/>
        </w:rPr>
        <w:t>10. 读取成本</w:t>
      </w:r>
    </w:p>
    <w:p>
      <w:pPr>
        <w:spacing w:after="140"/>
        <w:ind w:left="259"/>
      </w:pPr>
      <w:r>
        <w:t>查看总月租、付费节点、物理卡容量、副本分配卡数、空余卡数、月输出 Token 与建议报价。</w:t>
      </w:r>
    </w:p>
    <w:p>
      <w:pPr>
        <w:pStyle w:val="Heading2"/>
        <w:spacing w:before="200"/>
      </w:pPr>
      <w:r>
        <w:rPr>
          <w:rFonts w:ascii="Calibri" w:hAnsi="Calibri" w:eastAsia="Microsoft YaHei"/>
          <w:b/>
          <w:color w:val="2E74B5"/>
          <w:sz w:val="26"/>
        </w:rPr>
        <w:t>11. 用压测校准</w:t>
      </w:r>
    </w:p>
    <w:p>
      <w:pPr>
        <w:spacing w:after="140"/>
        <w:ind w:left="259"/>
      </w:pPr>
      <w:r>
        <w:t>单机保存当前整机 TPS，多机保存一个完整副本 TPS；补齐对应拓扑、运行时和工作负载指纹后应用。</w:t>
      </w:r>
    </w:p>
    <w:p>
      <w:pPr>
        <w:pStyle w:val="Heading1"/>
      </w:pPr>
      <w:r>
        <w:t>3. 三类估算模板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1800"/>
        <w:gridCol w:w="21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模板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内核与服务效率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节点内不可并行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跨节点不可并行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交互低并发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5%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15%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25%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低并发、时延优先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在线均衡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10%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10%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15%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默认规划起点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吞吐优先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20%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5%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10%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高并发、批处理充分</w:t>
            </w:r>
          </w:p>
        </w:tc>
      </w:tr>
    </w:tbl>
    <w:p>
      <w:pPr>
        <w:spacing w:after="0"/>
      </w:pPr>
    </w:p>
    <w:p>
      <w:r>
        <w:t>这些百分比是工程规划先验，不是厂商性能承诺。修改任一效率参数后，页面自动切换为“自定义参数”。</w:t>
      </w:r>
    </w:p>
    <w:p>
      <w:pPr>
        <w:pStyle w:val="Heading1"/>
      </w:pPr>
      <w:r>
        <w:t>4. 单机与多机的区别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60"/>
        <w:gridCol w:w="2600"/>
        <w:gridCol w:w="220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概念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含义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对吞吐的作用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对租金的作用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单节点标准卡数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所选硬件 SKU 的物理规格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不直接作为吞吐倍率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决定节点容量与整机价格口径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单副本实际总卡数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一个完整模型副本实际占用的卡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按节点分布做非线性估算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决定物理整卡容量上限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单副本拓扑节点数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共同承载一个完整模型副本的节点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引入跨节点通信效率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不是付费池总节点数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付费硬件池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已经购买或整租的节点与卡容量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不直接增加单副本吞吐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直接决定总月租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完整副本数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可独立处理请求的完整模型实例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按副本扩展并扣多副本调度损耗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决定需要增加多少硬件或资源组</w:t>
            </w:r>
          </w:p>
        </w:tc>
      </w:tr>
    </w:tbl>
    <w:p>
      <w:pPr>
        <w:spacing w:after="0"/>
      </w:pP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1F4D78"/>
          <w:sz w:val="22"/>
        </w:rPr>
        <w:t>判定规则：</w:t>
      </w:r>
      <w:r>
        <w:rPr>
          <w:rFonts w:ascii="Calibri" w:hAnsi="Calibri" w:eastAsia="Microsoft YaHei"/>
          <w:color w:val="1D2939"/>
          <w:sz w:val="22"/>
        </w:rPr>
        <w:t>单机实际卡数不得超过硬件 SKU 的单节点标准卡数；超限后停止成本和报价并提示切换多机。多机先定义单副本占用，再把副本放入付费硬件池。</w:t>
      </w:r>
    </w:p>
    <w:p>
      <w:pPr>
        <w:pStyle w:val="Heading1"/>
      </w:pPr>
      <w:r>
        <w:t>5. 容量模式</w:t>
      </w:r>
    </w:p>
    <w:p>
      <w:r>
        <w:t>容量模式回答“当前付费资源在给定规划口径下，每月能够输出多少 Token”。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总吞吐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单副本吞吐 × 完整副本数 × 多副本调度效率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月输出 Token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总吞吐 × 运行天数 × 日均有效负载小时 × 3600</w:t>
      </w:r>
    </w:p>
    <w:p>
      <w:r>
        <w:t>结果区同时显示交互低并发、当前模板和吞吐优先三个场景，便于观察参数敏感性。</w:t>
      </w:r>
    </w:p>
    <w:p>
      <w:pPr>
        <w:pStyle w:val="Heading1"/>
      </w:pPr>
      <w:r>
        <w:t>6. QPS 模式</w:t>
      </w:r>
    </w:p>
    <w:p>
      <w:r>
        <w:t>QPS 模式回答“为了满足指定业务请求量，需要付费多少个完整副本”。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输出需求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QPS × 平均输出 Token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无压测等效规划负载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QPS ×（输出 Token + 输入 Token × Prefill 等效负载系数）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服务副本数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向上取整[等效规划负载 ÷（单副本规划能力 × 目标负载率 × 调度效率）]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应付费副本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服务副本 + 冗余副本</w:t>
      </w:r>
    </w:p>
    <w:p>
      <w:pPr>
        <w:shd w:fill="FFF4E5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B54708"/>
          <w:sz w:val="22"/>
        </w:rPr>
        <w:t>计费边界：</w:t>
      </w:r>
      <w:r>
        <w:rPr>
          <w:rFonts w:ascii="Calibri" w:hAnsi="Calibri" w:eastAsia="Microsoft YaHei"/>
          <w:color w:val="1D2939"/>
          <w:sz w:val="22"/>
        </w:rPr>
        <w:t>Prefill 等效负载只用于反算资源；单位成本的产量分母始终使用实际输出 Token。冗余副本产生租金，但不计入常态业务输出。</w:t>
      </w:r>
    </w:p>
    <w:p>
      <w:pPr>
        <w:pStyle w:val="Heading1"/>
      </w:pPr>
      <w:r>
        <w:t>7. 硬件扩容与计费方式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60"/>
        <w:gridCol w:w="320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副本增加时硬件如何变化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付费节点计算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成本变化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同步增加硬件（默认）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副本数 × 单副本节点数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月租随副本数同步增长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使用固定节点池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先算每组可运行副本数，再算需要几组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月租按资源组阶梯增长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高级：实测空卡共用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采用实测的每组可运行副本数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实测容量内月租不变，跨容量增加资源组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同步增加硬件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总节点数 = 副本数 × 单副本节点数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固定节点池每组可运行副本数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向下取整[每组付费节点数 ÷ 单副本节点数]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固定节点池资源组数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向上取整[规划副本数 ÷ 每组可运行副本数]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高级实测空卡共用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手工回填同配置部署或压测确认值，且不得超过向下取整[每组物理卡容量 ÷ 单副本实际总卡数]</w:t>
      </w:r>
    </w:p>
    <w:p>
      <w:pPr>
        <w:shd w:fill="FFF4E5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B54708"/>
          <w:sz w:val="22"/>
        </w:rPr>
        <w:t>空卡边界：</w:t>
      </w:r>
      <w:r>
        <w:rPr>
          <w:rFonts w:ascii="Calibri" w:hAnsi="Calibri" w:eastAsia="Microsoft YaHei"/>
          <w:color w:val="1D2939"/>
          <w:sz w:val="22"/>
        </w:rPr>
        <w:t>空卡仅指未分配给任何副本的整张卡；已分配卡上的剩余显存不属于空卡。只有 NUMA、互联拓扑、进程隔离和调度均已通过部署或压测验证，才能填写每组实测可运行副本数。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4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方式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总月租计算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典型现象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按整节点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节点月租 × 付费节点数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同一已付费节点内增加启用卡数，租金可不变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按实际卡数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单卡月租 × 计费卡数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固定节点池按预留卡数；同步增加硬件按副本实际卡数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硬件成本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总月租 ÷ 月输出 Token × 1,000,000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2"/>
        </w:rPr>
        <w:t>建议报价</w:t>
      </w:r>
    </w:p>
    <w:p>
      <w:pPr>
        <w:spacing w:after="80"/>
        <w:ind w:left="360"/>
      </w:pPr>
      <w:r>
        <w:rPr>
          <w:rFonts w:ascii="Consolas" w:hAnsi="Consolas" w:eastAsia="Microsoft YaHei"/>
          <w:b/>
          <w:color w:val="1D2939"/>
          <w:sz w:val="21"/>
        </w:rPr>
        <w:t>每百万 Token 硬件成本 ÷（1 - 目标毛利率）</w:t>
      </w:r>
    </w:p>
    <w:p>
      <w:r>
        <w:t>建议报价只覆盖硬件租金，正式价格还应叠加电力、网络、存储、运维、许可和税费。</w:t>
      </w:r>
    </w:p>
    <w:p>
      <w:pPr>
        <w:pStyle w:val="Heading1"/>
      </w:pPr>
      <w:r>
        <w:t>8. 压测录入与复用</w:t>
      </w:r>
    </w:p>
    <w:p>
      <w:r>
        <w:t>压测数据保存于当前浏览器，不上传服务器。单机保存当前整机 Aggregate Output TPS；多机保存一个完整模型副本的 Aggregate Output TPS。只有以下关键指纹匹配时，系统才会应用实测 TPS：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类别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必须匹配的内容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模型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模型、结构、总参数、激活参数、权重精度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硬件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卡型、基准算力、量化倍率、单节点标准卡数、单副本实际总卡数、单副本节点数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拓扑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TP、PP、EP；多机额外匹配互联类型、互联带宽、RDMA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运行时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推理框架、框架或镜像版本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D2939"/>
                <w:sz w:val="20"/>
              </w:rPr>
              <w:t>工作负载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D2939"/>
                <w:sz w:val="20"/>
              </w:rPr>
              <w:t>ISL、OSL、并发，以及已设置的 P95 TTFT/ITL</w:t>
            </w:r>
          </w:p>
        </w:tc>
      </w:tr>
    </w:tbl>
    <w:p>
      <w:pPr>
        <w:spacing w:after="0"/>
      </w:pPr>
    </w:p>
    <w:p>
      <w:r>
        <w:t>任一关键字段变化，旧压测自动失配并回退到工程估算。</w:t>
      </w:r>
    </w:p>
    <w:p>
      <w:pPr>
        <w:pStyle w:val="Heading1"/>
      </w:pPr>
      <w:r>
        <w:t>9. 使用边界</w:t>
      </w: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1F4D78"/>
          <w:sz w:val="22"/>
        </w:rPr>
        <w:t>权重显存：</w:t>
      </w:r>
      <w:r>
        <w:rPr>
          <w:rFonts w:ascii="Calibri" w:hAnsi="Calibri" w:eastAsia="Microsoft YaHei"/>
          <w:color w:val="1D2939"/>
          <w:sz w:val="22"/>
        </w:rPr>
        <w:t>只校验权重是否能放入扣除预留后的显存，不代表 KV Cache、激活、通信缓冲和运行时一定满足。</w:t>
      </w: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1F4D78"/>
          <w:sz w:val="22"/>
        </w:rPr>
        <w:t>理论吞吐：</w:t>
      </w:r>
      <w:r>
        <w:rPr>
          <w:rFonts w:ascii="Calibri" w:hAnsi="Calibri" w:eastAsia="Microsoft YaHei"/>
          <w:color w:val="1D2939"/>
          <w:sz w:val="22"/>
        </w:rPr>
        <w:t>FLOPS 公式是 Decode 计算容量上限，不是生产 Aggregate Output TPS。</w:t>
      </w:r>
    </w:p>
    <w:p>
      <w:pPr>
        <w:shd w:fill="F4F6F9"/>
        <w:pBdr>
          <w:top w:val="single" w:sz="4" w:space="5" w:color="D0D5DD"/>
          <w:start w:val="single" w:sz="4" w:space="5" w:color="D0D5DD"/>
          <w:bottom w:val="single" w:sz="4" w:space="5" w:color="D0D5DD"/>
          <w:end w:val="single" w:sz="4" w:space="5" w:color="D0D5DD"/>
        </w:pBdr>
        <w:spacing w:before="100" w:after="160"/>
        <w:ind w:left="115" w:right="115"/>
        <w:jc w:val="left"/>
      </w:pPr>
      <w:r>
        <w:rPr>
          <w:rFonts w:ascii="Calibri" w:hAnsi="Calibri" w:eastAsia="Microsoft YaHei"/>
          <w:b/>
          <w:color w:val="1F4D78"/>
          <w:sz w:val="22"/>
        </w:rPr>
        <w:t>正式交付：</w:t>
      </w:r>
      <w:r>
        <w:rPr>
          <w:rFonts w:ascii="Calibri" w:hAnsi="Calibri" w:eastAsia="Microsoft YaHei"/>
          <w:color w:val="1D2939"/>
          <w:sz w:val="22"/>
        </w:rPr>
        <w:t>上线容量、SLA 和正式报价必须使用同模型、同拓扑、同运行时和同工作负载的压测数据。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紫东太初 · Token API 成本测算  |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Token API 成本测算工具 · 使用指南</w:t>
    </w:r>
    <w:r>
      <w:rPr>
        <w:rFonts w:ascii="Calibri" w:hAnsi="Calibri" w:eastAsia="Microsoft YaHei"/>
        <w:color w:val="667085"/>
        <w:sz w:val="18"/>
      </w:rPr>
      <w:t xml:space="preserve">  | 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