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A86E00"/>
          <w:sz w:val="20"/>
        </w:rPr>
        <w:t>操作参考指南</w:t>
      </w:r>
    </w:p>
    <w:p>
      <w:pPr>
        <w:keepNext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Token API 成本测算工具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28"/>
        </w:rPr>
        <w:t>使用指南：从参数填写到成本与报价解读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03748"/>
          <w:sz w:val="22"/>
        </w:rPr>
        <w:t>版本 2.0  |  2026-08-03</w:t>
      </w:r>
    </w:p>
    <w:p>
      <w:pPr>
        <w:spacing w:after="960"/>
        <w:jc w:val="center"/>
      </w:pPr>
      <w:r>
        <w:rPr>
          <w:rFonts w:ascii="Calibri" w:hAnsi="Calibri" w:eastAsia="Microsoft YaHei"/>
          <w:i/>
          <w:color w:val="667085"/>
          <w:sz w:val="20"/>
        </w:rPr>
        <w:t>适用于算力运营、产品、售前、研发与压测人员</w:t>
      </w:r>
    </w:p>
    <w:p>
      <w:pPr>
        <w:jc w:val="center"/>
      </w:pPr>
      <w:r>
        <w:rPr>
          <w:rFonts w:ascii="Calibri" w:hAnsi="Calibri" w:eastAsia="Microsoft YaHei"/>
          <w:color w:val="2E64E8"/>
          <w:sz w:val="19"/>
        </w:rPr>
        <w:t>https://atlas13-yx.github.io/token-api-cost-calculator/</w:t>
      </w:r>
    </w:p>
    <w:p>
      <w:r>
        <w:br w:type="page"/>
      </w:r>
    </w:p>
    <w:p>
      <w:pPr>
        <w:pStyle w:val="Heading1"/>
        <w:keepNext/>
      </w:pPr>
      <w:r>
        <w:t>1. 快速开始</w:t>
      </w:r>
    </w:p>
    <w:p>
      <w:pPr>
        <w:spacing w:before="80" w:after="180" w:line="288" w:lineRule="auto"/>
        <w:ind w:left="259" w:right="173"/>
        <w:shd w:fill="F4F6F9"/>
        <w:pBdr>
          <w:left w:val="single" w:sz="18" w:space="8" w:color="2E64E8"/>
        </w:pBdr>
      </w:pPr>
      <w:r>
        <w:rPr>
          <w:rFonts w:ascii="Calibri" w:hAnsi="Calibri" w:eastAsia="Microsoft YaHei"/>
          <w:b/>
          <w:color w:val="203748"/>
          <w:sz w:val="22"/>
        </w:rPr>
        <w:t xml:space="preserve">使用目标  </w:t>
      </w:r>
      <w:r>
        <w:rPr>
          <w:rFonts w:ascii="Calibri" w:hAnsi="Calibri" w:eastAsia="Microsoft YaHei"/>
          <w:color w:val="1D2939"/>
          <w:sz w:val="22"/>
        </w:rPr>
        <w:t>在正式压测前形成可解释的容量与硬件成本区间；在具备严格匹配压测后，用 Aggregate Output TPS 替换理论估算。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39"/>
          <w:sz w:val="22"/>
        </w:rPr>
        <w:t>打开公开页面，选择模型预设；若模型不在列表中，直接填写名称、结构、激活参数和总参数，并保存到“我的预设”。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39"/>
          <w:sz w:val="22"/>
        </w:rPr>
        <w:t>选择权重精度，填写加速卡型号、单卡 BF16/FP16 基准算力、量化内核实测倍率、实际卡数、整机标准卡数和单卡显存。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39"/>
          <w:sz w:val="22"/>
        </w:rPr>
        <w:t>选择单机或多机部署。多机时先定义一个完整模型副本需要的节点数，再定义彼此独立的完整副本数。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39"/>
          <w:sz w:val="22"/>
        </w:rPr>
        <w:t>选择“按算力容量”或“按 QPS 需求”。容量模式看可持续输出能力；QPS 模式按业务负载反算服务与冗余副本。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39"/>
          <w:sz w:val="22"/>
        </w:rPr>
        <w:t>检查结果区的配置校验、权重显存、吞吐、月输出 Token、硬件成本和建议报价。黄色提示必须处理后才可报价。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939"/>
          <w:sz w:val="22"/>
        </w:rPr>
        <w:t>需要上线或 SLA 承诺时，录入同硬件、拓扑、互联、运行时和工作负载下的单副本 Aggregate Output TPS。</w:t>
      </w:r>
    </w:p>
    <w:p>
      <w:pPr>
        <w:pStyle w:val="Heading1"/>
        <w:keepNext/>
      </w:pPr>
      <w:r>
        <w:t>2. 两种测算模式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350"/>
        <w:gridCol w:w="2850"/>
        <w:gridCol w:w="2700"/>
        <w:gridCol w:w="246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模式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适用问题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主结果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注意事项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按算力容量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当前配置理论上能持续输出多少？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总有效输出吞吐、月处理量、单位成本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无压测时依赖可修改效率系数，不是 SLA 承诺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按 QPS 需求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为稳定 QPS 需要多少完整副本？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输出需求、等效规划负载、付费副本数与成本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匹配压测优先；否则 Prefill 等效系数参与规划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/>
          <w:color w:val="1D2939"/>
          <w:sz w:val="22"/>
        </w:rPr>
        <w:t>刷新测算结果：</w:t>
      </w:r>
      <w:r>
        <w:rPr>
          <w:rFonts w:ascii="Calibri" w:hAnsi="Calibri" w:eastAsia="Microsoft YaHei"/>
          <w:color w:val="1D2939"/>
          <w:sz w:val="22"/>
        </w:rPr>
        <w:t>页面本身会随输入实时更新；该按钮用于在批量修改后主动重新执行同一套校验与计算，不会向服务器上传数据。</w:t>
      </w:r>
    </w:p>
    <w:p>
      <w:pPr>
        <w:spacing w:after="120"/>
      </w:pPr>
      <w:r>
        <w:rPr>
          <w:rFonts w:ascii="Calibri" w:hAnsi="Calibri" w:eastAsia="Microsoft YaHei"/>
          <w:b/>
          <w:color w:val="1D2939"/>
          <w:sz w:val="22"/>
        </w:rPr>
        <w:t>保存位置：</w:t>
      </w:r>
      <w:r>
        <w:rPr>
          <w:rFonts w:ascii="Calibri" w:hAnsi="Calibri" w:eastAsia="Microsoft YaHei"/>
          <w:color w:val="1D2939"/>
          <w:sz w:val="22"/>
        </w:rPr>
        <w:t>模型预设、量化倍率和压测配置只保存在当前浏览器的 localStorage。更换浏览器、清理站点数据或使用其他电脑后不会自动同步。</w:t>
      </w:r>
    </w:p>
    <w:p>
      <w:pPr>
        <w:pStyle w:val="Heading1"/>
        <w:keepNext/>
      </w:pPr>
      <w:r>
        <w:t>3. 模型与硬件参数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参数区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关键字段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填写原则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模型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激活参数、总参数、结构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MoE 用每 Token 实际激活参数计算 Decode FLOPS；总参数只用于权重显存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精度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BF16/FP16、FP8、INT4/MXFP4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精度选项决定 B/参数；低比特仅为权重容量口径，必须使用实际权重格式复核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算力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单卡 BF16/FP16 TFLOPS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始终作为统一基准，便于不同量化方案比较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量化倍率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量化内核算力倍率（实测）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BF16 固定 1.00；FP8/INT4 可按当前模型、精度、硬件组合保存实测倍率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卡数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实际使用卡数、整机标准卡数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每节点实际使用卡数不得超过整机标准卡数，且必须为正整数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显存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单卡显存、预留率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系统只做权重校验；KV Cache、激活、通信缓冲与运行时仍需压测</w:t>
            </w:r>
          </w:p>
        </w:tc>
      </w:tr>
    </w:tbl>
    <w:p>
      <w:pPr>
        <w:spacing w:after="40"/>
      </w:pPr>
    </w:p>
    <w:p>
      <w:pPr>
        <w:spacing w:before="80" w:after="180" w:line="288" w:lineRule="auto"/>
        <w:ind w:left="259" w:right="173"/>
        <w:shd w:fill="FFFAEB"/>
        <w:pBdr>
          <w:left w:val="single" w:sz="18" w:space="8" w:color="A86E00"/>
        </w:pBdr>
      </w:pPr>
      <w:r>
        <w:rPr>
          <w:rFonts w:ascii="Calibri" w:hAnsi="Calibri" w:eastAsia="Microsoft YaHei"/>
          <w:b/>
          <w:color w:val="203748"/>
          <w:sz w:val="22"/>
        </w:rPr>
        <w:t xml:space="preserve">固定校验  </w:t>
      </w:r>
      <w:r>
        <w:rPr>
          <w:rFonts w:ascii="Calibri" w:hAnsi="Calibri" w:eastAsia="Microsoft YaHei"/>
          <w:color w:val="1D2939"/>
          <w:sz w:val="22"/>
        </w:rPr>
        <w:t>无效数字不会被系统自动改写。卡数、节点数、副本数或拓扑不合法时，成本与建议报价会停用，并显示具体原因。</w:t>
      </w:r>
    </w:p>
    <w:p>
      <w:pPr>
        <w:pStyle w:val="Heading1"/>
        <w:keepNext/>
      </w:pPr>
      <w:r>
        <w:t>4. 多机部署</w:t>
      </w:r>
    </w:p>
    <w:p>
      <w:pPr>
        <w:spacing w:after="120"/>
      </w:pPr>
      <w:r>
        <w:rPr>
          <w:rFonts w:ascii="Calibri" w:hAnsi="Calibri" w:eastAsia="Microsoft YaHei"/>
          <w:color w:val="1D2939"/>
          <w:sz w:val="22"/>
        </w:rPr>
        <w:t>多机页面把扩容分成两个层次，避免把“让一个超大模型跨节点运行”和“增加多个独立服务实例”混为一谈。</w:t>
      </w:r>
    </w:p>
    <w:p>
      <w:pPr>
        <w:pStyle w:val="Heading2"/>
        <w:keepNext/>
      </w:pPr>
      <w:r>
        <w:t>4.1 副本内部署</w:t>
      </w:r>
    </w:p>
    <w:p>
      <w:pPr>
        <w:spacing w:after="120"/>
      </w:pPr>
      <w:r>
        <w:rPr>
          <w:rFonts w:ascii="Calibri" w:hAnsi="Calibri" w:eastAsia="Microsoft YaHei"/>
          <w:color w:val="1D2939"/>
          <w:sz w:val="22"/>
        </w:rPr>
        <w:t>单副本节点数、TP/PP/EP 和副本内并行效率共同描述一个完整模型副本。节点增加可能改变单副本吞吐，但不会自动被视为新增模型副本。</w:t>
      </w:r>
    </w:p>
    <w:p>
      <w:pPr>
        <w:pStyle w:val="Heading2"/>
        <w:keepNext/>
      </w:pPr>
      <w:r>
        <w:t>4.2 独立完整副本扩容</w:t>
      </w:r>
    </w:p>
    <w:p>
      <w:pPr>
        <w:spacing w:after="120"/>
      </w:pPr>
      <w:r>
        <w:rPr>
          <w:rFonts w:ascii="Calibri" w:hAnsi="Calibri" w:eastAsia="Microsoft YaHei"/>
          <w:color w:val="1D2939"/>
          <w:sz w:val="22"/>
        </w:rPr>
        <w:t>完整副本能够独立接收请求。总吞吐才按完整副本数扩展，并使用副本间调度效率反映负载均衡损耗。</w:t>
      </w:r>
    </w:p>
    <w:p>
      <w:pPr>
        <w:pStyle w:val="Formula"/>
        <w:shd w:fill="F8FAFC"/>
        <w:pBdr>
          <w:left w:val="single" w:sz="18" w:space="8" w:color="1F4D78"/>
        </w:pBdr>
      </w:pPr>
      <w:r>
        <w:rPr>
          <w:rFonts w:ascii="Consolas" w:hAnsi="Consolas" w:eastAsia="Microsoft YaHei"/>
          <w:color w:val="203748"/>
          <w:sz w:val="21"/>
        </w:rPr>
        <w:t>单副本总卡数 = 单副本节点数 × 每节点实际卡数</w:t>
      </w:r>
      <w:r>
        <w:br/>
      </w:r>
      <w:r>
        <w:rPr>
          <w:rFonts w:ascii="Consolas" w:hAnsi="Consolas" w:eastAsia="Microsoft YaHei"/>
          <w:color w:val="203748"/>
          <w:sz w:val="21"/>
        </w:rPr>
        <w:t>总吞吐 = 单副本吞吐 × 独立完整副本数 × 副本间调度效率</w:t>
      </w:r>
      <w:r>
        <w:br/>
      </w:r>
      <w:r>
        <w:rPr>
          <w:rFonts w:ascii="Consolas" w:hAnsi="Consolas" w:eastAsia="Microsoft YaHei"/>
          <w:color w:val="203748"/>
          <w:sz w:val="21"/>
        </w:rPr>
        <w:t>全部付费节点 = 单副本节点数 × 付费完整副本数</w:t>
      </w:r>
    </w:p>
    <w:p>
      <w:pPr>
        <w:spacing w:after="120"/>
      </w:pPr>
      <w:r>
        <w:rPr>
          <w:rFonts w:ascii="Calibri" w:hAnsi="Calibri" w:eastAsia="Microsoft YaHei"/>
          <w:color w:val="1D2939"/>
          <w:sz w:val="22"/>
        </w:rPr>
        <w:t>收起多机设置后，摘要会保留：单副本节点/卡数、服务与冗余副本、全部卡数、吞吐依据和调度效率。</w:t>
      </w:r>
    </w:p>
    <w:p>
      <w:pPr>
        <w:pStyle w:val="Heading1"/>
        <w:keepNext/>
      </w:pPr>
      <w:r>
        <w:t>5. QPS 与 Prefill 规划</w:t>
      </w:r>
    </w:p>
    <w:p>
      <w:pPr>
        <w:spacing w:after="120"/>
      </w:pPr>
      <w:r>
        <w:rPr>
          <w:rFonts w:ascii="Calibri" w:hAnsi="Calibri" w:eastAsia="Microsoft YaHei"/>
          <w:color w:val="1D2939"/>
          <w:sz w:val="22"/>
        </w:rPr>
        <w:t>QPS 模式同时维护“可计费输出需求”和“无压测等效规划负载”。二者用途不同，不能合并。</w:t>
      </w:r>
    </w:p>
    <w:p>
      <w:pPr>
        <w:pStyle w:val="Formula"/>
        <w:shd w:fill="F8FAFC"/>
        <w:pBdr>
          <w:left w:val="single" w:sz="18" w:space="8" w:color="1F4D78"/>
        </w:pBdr>
      </w:pPr>
      <w:r>
        <w:rPr>
          <w:rFonts w:ascii="Consolas" w:hAnsi="Consolas" w:eastAsia="Microsoft YaHei"/>
          <w:color w:val="203748"/>
          <w:sz w:val="21"/>
        </w:rPr>
        <w:t>可计费输出需求 = QPS × 平均输出 Token</w:t>
      </w:r>
      <w:r>
        <w:br/>
      </w:r>
      <w:r>
        <w:rPr>
          <w:rFonts w:ascii="Consolas" w:hAnsi="Consolas" w:eastAsia="Microsoft YaHei"/>
          <w:color w:val="203748"/>
          <w:sz w:val="21"/>
        </w:rPr>
        <w:t>等效规划负载 = QPS × (平均输出 Token + 平均输入 Token × Prefill 等效负载系数)</w:t>
      </w:r>
      <w:r>
        <w:br/>
      </w:r>
      <w:r>
        <w:rPr>
          <w:rFonts w:ascii="Consolas" w:hAnsi="Consolas" w:eastAsia="Microsoft YaHei"/>
          <w:color w:val="203748"/>
          <w:sz w:val="21"/>
        </w:rPr>
        <w:t>服务副本数 = ceil(等效规划负载 ÷ 单副本规划能力 ÷ 目标负载率 ÷ 调度效率)</w:t>
      </w:r>
      <w:r>
        <w:br/>
      </w:r>
      <w:r>
        <w:rPr>
          <w:rFonts w:ascii="Consolas" w:hAnsi="Consolas" w:eastAsia="Microsoft YaHei"/>
          <w:color w:val="203748"/>
          <w:sz w:val="21"/>
        </w:rPr>
        <w:t>应付费副本数 = 服务副本数 + 额外冗余副本</w:t>
      </w:r>
    </w:p>
    <w:p>
      <w:pPr>
        <w:spacing w:before="80" w:after="180" w:line="288" w:lineRule="auto"/>
        <w:ind w:left="259" w:right="173"/>
        <w:shd w:fill="F4F6F9"/>
        <w:pBdr>
          <w:left w:val="single" w:sz="18" w:space="8" w:color="2E64E8"/>
        </w:pBdr>
      </w:pPr>
      <w:r>
        <w:rPr>
          <w:rFonts w:ascii="Calibri" w:hAnsi="Calibri" w:eastAsia="Microsoft YaHei"/>
          <w:b/>
          <w:color w:val="203748"/>
          <w:sz w:val="22"/>
        </w:rPr>
        <w:t xml:space="preserve">为什么可修改  </w:t>
      </w:r>
      <w:r>
        <w:rPr>
          <w:rFonts w:ascii="Calibri" w:hAnsi="Calibri" w:eastAsia="Microsoft YaHei"/>
          <w:color w:val="1D2939"/>
          <w:sz w:val="22"/>
        </w:rPr>
        <w:t>Prefill 等效系数受模型、输入长度、批处理、缓存命中、内核和框架影响。没有统一固定值；默认值仅用于规划占位，应由同环境压测校准。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0"/>
        <w:gridCol w:w="2050"/>
        <w:gridCol w:w="4760"/>
      </w:tblGrid>
      <w:tr>
        <w:trPr>
          <w:tblHeader w:val="true"/>
        </w:trPr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示例输入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数值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示例结果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QPS / OSL / ISL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50 / 240 / 1,024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输出需求 12,000 token/s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Prefill 等效系数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1.00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等效规划负载 63,200 token/s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单副本规划能力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12,520 token/s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80% 目标负载、95% 调度后需要 7 个服务副本</w:t>
            </w:r>
          </w:p>
        </w:tc>
      </w:tr>
      <w:tr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节点租金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¥55,000 / 节点 / 月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2 节点/副本时硬件成本约 ¥24.76 / 百万输出 Token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录入并应用压测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D2939"/>
          <w:sz w:val="22"/>
        </w:rPr>
        <w:t>在多机设置中展开“压测匹配参数”，填写有效 TP/PP/EP、跨节点互联类型、单节点跨机带宽、RDMA 状态、推理框架和版本。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D2939"/>
          <w:sz w:val="22"/>
        </w:rPr>
        <w:t>点击“录入 / 管理压测”，填写一个完整模型副本的 Aggregate Output TPS、并发、ISL、OSL，以及可选 P95 TTFT/ITL。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D2939"/>
          <w:sz w:val="22"/>
        </w:rPr>
        <w:t>点击“保存并应用”。系统会把工作负载回填到当前页面，并在全部指纹一致时显示绿色“已应用”。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D2939"/>
          <w:sz w:val="22"/>
        </w:rPr>
        <w:t>修改模型、精度、硬件、拓扑、互联、运行时、ISL/OSL、并发或 SLA 后，若不再匹配，系统会自动停用该实测结果并回退到规划估算。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D2939"/>
          <w:sz w:val="22"/>
        </w:rPr>
        <w:t>旧版压测缺少互联指纹时仍会显示在列表中，但不会严格应用；补齐字段并重新保存即可。</w:t>
      </w:r>
    </w:p>
    <w:p>
      <w:pPr>
        <w:spacing w:before="80" w:after="180" w:line="288" w:lineRule="auto"/>
        <w:ind w:left="259" w:right="173"/>
        <w:shd w:fill="ECFDF3"/>
        <w:pBdr>
          <w:left w:val="single" w:sz="18" w:space="8" w:color="087A55"/>
        </w:pBdr>
      </w:pPr>
      <w:r>
        <w:rPr>
          <w:rFonts w:ascii="Calibri" w:hAnsi="Calibri" w:eastAsia="Microsoft YaHei"/>
          <w:b/>
          <w:color w:val="203748"/>
          <w:sz w:val="22"/>
        </w:rPr>
        <w:t xml:space="preserve">压测口径  </w:t>
      </w:r>
      <w:r>
        <w:rPr>
          <w:rFonts w:ascii="Calibri" w:hAnsi="Calibri" w:eastAsia="Microsoft YaHei"/>
          <w:color w:val="1D2939"/>
          <w:sz w:val="22"/>
        </w:rPr>
        <w:t>只录入单副本 Aggregate Output TPS。多个独立完整副本的总吞吐由系统按副本数与副本间调度效率计算，避免把已扩容的集群总 TPS 再次放大。</w:t>
      </w:r>
    </w:p>
    <w:p>
      <w:pPr>
        <w:pStyle w:val="Heading1"/>
        <w:keepNext/>
      </w:pPr>
      <w:r>
        <w:t>7. 结果解读与交付检查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3560"/>
        <w:gridCol w:w="390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结果项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用于决策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有效输出吞吐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容量模式为可持续估算；QPS 模式为目标输出需求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容量比较与业务需求确认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硬件成本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所有付费节点月租 ÷ 有效期输出 Token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仅覆盖租金的成本底价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理论吞吐上限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Decode FLOPS 粗略上限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只作容量参照，不能直接承诺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月处理量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输出 TPS × 有效运行秒数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单位成本分母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建议报价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硬件成本 ÷ (1 - 目标毛利率)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D2939"/>
                <w:sz w:val="19"/>
              </w:rPr>
              <w:t>仍需叠加电力、网络、运维、许可与税费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39"/>
          <w:sz w:val="22"/>
        </w:rPr>
        <w:t>配置校验为通过状态，且没有黄色或红色冲突提示。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39"/>
          <w:sz w:val="22"/>
        </w:rPr>
        <w:t>权重可放入预留后的单副本显存，并另行验证 KV Cache 与运行时占用。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39"/>
          <w:sz w:val="22"/>
        </w:rPr>
        <w:t>多机节点、卡数、TP/PP/EP 与实际部署一致。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39"/>
          <w:sz w:val="22"/>
        </w:rPr>
        <w:t>正式 SLA 和对外报价采用严格匹配压测，而不是理论上限。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939"/>
          <w:sz w:val="22"/>
        </w:rPr>
        <w:t>确认运行天数、日均负载小时、节点月租、冗余副本和毛利率。</w:t>
      </w:r>
    </w:p>
    <w:p>
      <w:pPr>
        <w:pStyle w:val="Heading1"/>
        <w:keepNext/>
      </w:pPr>
      <w:r>
        <w:t>8. 相关资源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39"/>
          <w:sz w:val="22"/>
        </w:rPr>
        <w:t>公开工具：</w:t>
      </w:r>
      <w:r>
        <w:rPr>
          <w:rFonts w:ascii="Calibri" w:hAnsi="Calibri" w:eastAsia="Microsoft YaHei"/>
          <w:color w:val="1D2939"/>
          <w:sz w:val="22"/>
        </w:rPr>
        <w:t>https://atlas13-yx.github.io/token-api-cost-calculator/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39"/>
          <w:sz w:val="22"/>
        </w:rPr>
        <w:t>GitHub 仓库：</w:t>
      </w:r>
      <w:r>
        <w:rPr>
          <w:rFonts w:ascii="Calibri" w:hAnsi="Calibri" w:eastAsia="Microsoft YaHei"/>
          <w:color w:val="1D2939"/>
          <w:sz w:val="22"/>
        </w:rPr>
        <w:t>https://github.com/Atlas13-yx/token-api-cost-calculator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939"/>
          <w:sz w:val="22"/>
        </w:rPr>
        <w:t>计算口径与更新报告：</w:t>
      </w:r>
      <w:r>
        <w:rPr>
          <w:rFonts w:ascii="Calibri" w:hAnsi="Calibri" w:eastAsia="Microsoft YaHei"/>
          <w:color w:val="1D2939"/>
          <w:sz w:val="22"/>
        </w:rPr>
        <w:t>同目录：Token_API_成本测算工具_计算口径与更新报告_v2.0.docx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2"/>
        </w:rPr>
        <w:t>边界说明：本工具用于容量规划与硬件租金估算，不替代真实服务压测、SLA 验收、故障冗余设计或正式财务报价。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2026-08-03  ·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color w:val="667085"/>
        <w:sz w:val="18"/>
      </w:rPr>
      <w:t>Token API 成本测算工具 · 使用指南</w:t>
    </w:r>
    <w:r>
      <w:rPr>
        <w:rFonts w:ascii="Calibri" w:hAnsi="Calibri" w:eastAsia="Microsoft YaHei"/>
        <w:color w:val="667085"/>
        <w:sz w:val="18"/>
      </w:rPr>
      <w:tab/>
      <w:t>版本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60" w:line="276" w:lineRule="auto"/>
      <w:ind w:left="259" w:right="259"/>
    </w:pPr>
    <w:rPr>
      <w:rFonts w:ascii="Consolas" w:hAnsi="Consolas" w:eastAsia="Microsoft YaHei"/>
      <w:b w:val="0"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API 成本测算工具 · 使用指南</dc:title>
  <dc:subject>单机、多机、QPS 与压测配置的操作说明</dc:subject>
  <dc:creator>紫东太初算力运营</dc:creator>
  <cp:keywords>Token API, 成本测算, 多机部署, QPS, Aggregate Output TPS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