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20"/>
        <w:jc w:val="center"/>
      </w:pPr>
      <w:r>
        <w:rPr>
          <w:rFonts w:ascii="Calibri" w:hAnsi="Calibri" w:eastAsia="Microsoft YaHei"/>
          <w:b/>
          <w:color w:val="A86E00"/>
          <w:sz w:val="20"/>
        </w:rPr>
        <w:t>方法与版本报告</w:t>
      </w:r>
    </w:p>
    <w:p>
      <w:pPr>
        <w:keepNext/>
        <w:spacing w:after="200"/>
        <w:jc w:val="center"/>
      </w:pPr>
      <w:r>
        <w:rPr>
          <w:rFonts w:ascii="Calibri" w:hAnsi="Calibri" w:eastAsia="Microsoft YaHei"/>
          <w:b/>
          <w:color w:val="203748"/>
          <w:sz w:val="56"/>
        </w:rPr>
        <w:t>Token API 成本测算工具</w:t>
      </w:r>
    </w:p>
    <w:p>
      <w:pPr>
        <w:spacing w:after="600"/>
        <w:jc w:val="center"/>
      </w:pPr>
      <w:r>
        <w:rPr>
          <w:rFonts w:ascii="Calibri" w:hAnsi="Calibri" w:eastAsia="Microsoft YaHei"/>
          <w:color w:val="1F4D78"/>
          <w:sz w:val="28"/>
        </w:rPr>
        <w:t>计算口径、固定规则与 v2.0 更新说明</w:t>
      </w:r>
    </w:p>
    <w:p>
      <w:pPr>
        <w:spacing w:after="120"/>
        <w:jc w:val="center"/>
      </w:pPr>
      <w:r>
        <w:rPr>
          <w:rFonts w:ascii="Calibri" w:hAnsi="Calibri" w:eastAsia="Microsoft YaHei"/>
          <w:b/>
          <w:color w:val="203748"/>
          <w:sz w:val="22"/>
        </w:rPr>
        <w:t>版本 2.0  |  2026-08-03</w:t>
      </w:r>
    </w:p>
    <w:p>
      <w:pPr>
        <w:spacing w:after="960"/>
        <w:jc w:val="center"/>
      </w:pPr>
      <w:r>
        <w:rPr>
          <w:rFonts w:ascii="Calibri" w:hAnsi="Calibri" w:eastAsia="Microsoft YaHei"/>
          <w:i/>
          <w:color w:val="667085"/>
          <w:sz w:val="20"/>
        </w:rPr>
        <w:t>用于评审、验收、追溯与向 Mentor 汇报</w:t>
      </w:r>
    </w:p>
    <w:p>
      <w:pPr>
        <w:jc w:val="center"/>
      </w:pPr>
      <w:r>
        <w:rPr>
          <w:rFonts w:ascii="Calibri" w:hAnsi="Calibri" w:eastAsia="Microsoft YaHei"/>
          <w:color w:val="2E64E8"/>
          <w:sz w:val="19"/>
        </w:rPr>
        <w:t>https://atlas13-yx.github.io/token-api-cost-calculator/</w:t>
      </w:r>
    </w:p>
    <w:p>
      <w:r>
        <w:br w:type="page"/>
      </w:r>
    </w:p>
    <w:p>
      <w:pPr>
        <w:pStyle w:val="Heading1"/>
        <w:keepNext/>
      </w:pPr>
      <w:r>
        <w:t>1. 结论摘要</w:t>
      </w:r>
    </w:p>
    <w:p>
      <w:pPr>
        <w:spacing w:before="80" w:after="180" w:line="288" w:lineRule="auto"/>
        <w:ind w:left="259" w:right="173"/>
        <w:shd w:fill="ECFDF3"/>
        <w:pBdr>
          <w:left w:val="single" w:sz="18" w:space="8" w:color="087A55"/>
        </w:pBdr>
      </w:pPr>
      <w:r>
        <w:rPr>
          <w:rFonts w:ascii="Calibri" w:hAnsi="Calibri" w:eastAsia="Microsoft YaHei"/>
          <w:b/>
          <w:color w:val="203748"/>
          <w:sz w:val="22"/>
        </w:rPr>
        <w:t xml:space="preserve">本版结论  </w:t>
      </w:r>
      <w:r>
        <w:rPr>
          <w:rFonts w:ascii="Calibri" w:hAnsi="Calibri" w:eastAsia="Microsoft YaHei"/>
          <w:color w:val="1D2939"/>
          <w:sz w:val="22"/>
        </w:rPr>
        <w:t>单副本内部的多机并行与独立完整副本扩容已分离；QPS 无压测规划计入 Prefill 等效负载；付费副本变化会同步改变硬件成本与报价；压测只有在完整部署指纹一致时才会生效。</w:t>
      </w:r>
    </w:p>
    <w:p>
      <w:pPr>
        <w:spacing w:after="120"/>
      </w:pPr>
      <w:r>
        <w:rPr>
          <w:rFonts w:ascii="Calibri" w:hAnsi="Calibri" w:eastAsia="Microsoft YaHei"/>
          <w:color w:val="1D2939"/>
          <w:sz w:val="22"/>
        </w:rPr>
        <w:t>系统采用“固定公式和校验规则由程序保证，现实环境相关参数保留人工填写或实测校准”的原则。理论值用于上限参考，严格匹配压测用于正式容量判断。</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3850"/>
        <w:gridCol w:w="4010"/>
      </w:tblGrid>
      <w:tr>
        <w:trPr>
          <w:tblHeader w:val="true"/>
        </w:trPr>
        <w:tc>
          <w:tcPr>
            <w:tcW w:type="dxa" w:w="15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类别</w:t>
            </w:r>
          </w:p>
        </w:tc>
        <w:tc>
          <w:tcPr>
            <w:tcW w:type="dxa" w:w="385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系统固定</w:t>
            </w:r>
          </w:p>
        </w:tc>
        <w:tc>
          <w:tcPr>
            <w:tcW w:type="dxa" w:w="401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需要实测或按环境填写</w:t>
            </w:r>
          </w:p>
        </w:tc>
      </w:tr>
      <w:tr>
        <w:tc>
          <w:tcPr>
            <w:tcW w:type="dxa" w:w="15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模型</w:t>
            </w:r>
          </w:p>
        </w:tc>
        <w:tc>
          <w:tcPr>
            <w:tcW w:type="dxa" w:w="38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激活参数用于 FLOPS；总参数用于权重显存</w:t>
            </w:r>
          </w:p>
        </w:tc>
        <w:tc>
          <w:tcPr>
            <w:tcW w:type="dxa" w:w="40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模型版本、权重格式、实际激活参数</w:t>
            </w:r>
          </w:p>
        </w:tc>
      </w:tr>
      <w:tr>
        <w:tc>
          <w:tcPr>
            <w:tcW w:type="dxa" w:w="15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硬件</w:t>
            </w:r>
          </w:p>
        </w:tc>
        <w:tc>
          <w:tcPr>
            <w:tcW w:type="dxa" w:w="38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卡数、节点数、租金和显存按明确公式汇总</w:t>
            </w:r>
          </w:p>
        </w:tc>
        <w:tc>
          <w:tcPr>
            <w:tcW w:type="dxa" w:w="40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量化内核倍率、实际可用显存与带宽</w:t>
            </w:r>
          </w:p>
        </w:tc>
      </w:tr>
      <w:tr>
        <w:tc>
          <w:tcPr>
            <w:tcW w:type="dxa" w:w="15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多机</w:t>
            </w:r>
          </w:p>
        </w:tc>
        <w:tc>
          <w:tcPr>
            <w:tcW w:type="dxa" w:w="38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副本内部署与独立副本扩容分离</w:t>
            </w:r>
          </w:p>
        </w:tc>
        <w:tc>
          <w:tcPr>
            <w:tcW w:type="dxa" w:w="40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副本内并行效率、副本间调度效率</w:t>
            </w:r>
          </w:p>
        </w:tc>
      </w:tr>
      <w:tr>
        <w:tc>
          <w:tcPr>
            <w:tcW w:type="dxa" w:w="15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QPS</w:t>
            </w:r>
          </w:p>
        </w:tc>
        <w:tc>
          <w:tcPr>
            <w:tcW w:type="dxa" w:w="38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输出需求、等效规划负载和成本分母分离</w:t>
            </w:r>
          </w:p>
        </w:tc>
        <w:tc>
          <w:tcPr>
            <w:tcW w:type="dxa" w:w="40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Prefill 等效系数、目标负载率、冗余</w:t>
            </w:r>
          </w:p>
        </w:tc>
      </w:tr>
      <w:tr>
        <w:tc>
          <w:tcPr>
            <w:tcW w:type="dxa" w:w="15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压测</w:t>
            </w:r>
          </w:p>
        </w:tc>
        <w:tc>
          <w:tcPr>
            <w:tcW w:type="dxa" w:w="38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完整指纹严格匹配，不匹配自动停用</w:t>
            </w:r>
          </w:p>
        </w:tc>
        <w:tc>
          <w:tcPr>
            <w:tcW w:type="dxa" w:w="40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Aggregate Output TPS、TTFT、ITL 与工作负载</w:t>
            </w:r>
          </w:p>
        </w:tc>
      </w:tr>
    </w:tbl>
    <w:p>
      <w:pPr>
        <w:spacing w:after="40"/>
      </w:pPr>
    </w:p>
    <w:p>
      <w:pPr>
        <w:pStyle w:val="Heading1"/>
        <w:keepNext/>
      </w:pPr>
      <w:r>
        <w:t>2. 理论吞吐与权重容量</w:t>
      </w:r>
    </w:p>
    <w:p>
      <w:pPr>
        <w:pStyle w:val="Heading2"/>
        <w:keepNext/>
      </w:pPr>
      <w:r>
        <w:t>2.1 Decode FLOPS 上限</w:t>
      </w:r>
    </w:p>
    <w:p>
      <w:pPr>
        <w:pStyle w:val="Formula"/>
        <w:shd w:fill="F8FAFC"/>
        <w:pBdr>
          <w:left w:val="single" w:sz="18" w:space="8" w:color="1F4D78"/>
        </w:pBdr>
      </w:pPr>
      <w:r>
        <w:rPr>
          <w:rFonts w:ascii="Consolas" w:hAnsi="Consolas" w:eastAsia="Microsoft YaHei"/>
          <w:color w:val="203748"/>
          <w:sz w:val="21"/>
        </w:rPr>
        <w:t>单副本总 FLOPS = 单卡 BF16/FP16 TFLOPS × 量化内核实测倍率 × 单副本总卡数</w:t>
      </w:r>
      <w:r>
        <w:br/>
      </w:r>
      <w:r>
        <w:rPr>
          <w:rFonts w:ascii="Consolas" w:hAnsi="Consolas" w:eastAsia="Microsoft YaHei"/>
          <w:color w:val="203748"/>
          <w:sz w:val="21"/>
        </w:rPr>
        <w:t>单副本 Decode 上限 = 单副本总 FLOPS ÷ (2 × 每 Token 激活参数量)</w:t>
      </w:r>
    </w:p>
    <w:p>
      <w:pPr>
        <w:spacing w:after="120"/>
      </w:pPr>
      <w:r>
        <w:rPr>
          <w:rFonts w:ascii="Calibri" w:hAnsi="Calibri" w:eastAsia="Microsoft YaHei"/>
          <w:color w:val="1D2939"/>
          <w:sz w:val="22"/>
        </w:rPr>
        <w:t>Dense 模型的激活参数通常等于总参数；MoE 模型使用每 Token 激活参数。系数 2 近似表示一次权重相关乘加所需的 FLOPs。该结果不包含访存、通信、调度、批处理和时延约束。</w:t>
      </w:r>
    </w:p>
    <w:p>
      <w:pPr>
        <w:pStyle w:val="Heading2"/>
        <w:keepNext/>
      </w:pPr>
      <w:r>
        <w:t>2.2 无压测容量</w:t>
      </w:r>
    </w:p>
    <w:p>
      <w:pPr>
        <w:pStyle w:val="Formula"/>
        <w:shd w:fill="F8FAFC"/>
        <w:pBdr>
          <w:left w:val="single" w:sz="18" w:space="8" w:color="1F4D78"/>
        </w:pBdr>
      </w:pPr>
      <w:r>
        <w:rPr>
          <w:rFonts w:ascii="Consolas" w:hAnsi="Consolas" w:eastAsia="Microsoft YaHei"/>
          <w:color w:val="203748"/>
          <w:sz w:val="21"/>
        </w:rPr>
        <w:t>单副本估算吞吐 = Decode 上限 × 副本内并行效率 × 内核与服务效率</w:t>
      </w:r>
      <w:r>
        <w:br/>
      </w:r>
      <w:r>
        <w:rPr>
          <w:rFonts w:ascii="Consolas" w:hAnsi="Consolas" w:eastAsia="Microsoft YaHei"/>
          <w:color w:val="203748"/>
          <w:sz w:val="21"/>
        </w:rPr>
        <w:t>集群估算吞吐 = 单副本估算吞吐 × 独立完整副本数 × 副本间调度效率</w:t>
      </w:r>
    </w:p>
    <w:p>
      <w:pPr>
        <w:spacing w:after="120"/>
      </w:pPr>
      <w:r>
        <w:rPr>
          <w:rFonts w:ascii="Calibri" w:hAnsi="Calibri" w:eastAsia="Microsoft YaHei"/>
          <w:color w:val="1D2939"/>
          <w:sz w:val="22"/>
        </w:rPr>
        <w:t>量化内核倍率单独保存，是因为 FP8、INT4/MXFP4 的吞吐提升取决于硬件、内核、模型和框架，不能从权重字节数直接推导。BF16/FP16 作为统一基准，倍率固定为 1.00。</w:t>
      </w:r>
    </w:p>
    <w:p>
      <w:pPr>
        <w:pStyle w:val="Heading2"/>
        <w:keepNext/>
      </w:pPr>
      <w:r>
        <w:t>2.3 权重显存</w:t>
      </w:r>
    </w:p>
    <w:p>
      <w:pPr>
        <w:pStyle w:val="Formula"/>
        <w:shd w:fill="F8FAFC"/>
        <w:pBdr>
          <w:left w:val="single" w:sz="18" w:space="8" w:color="1F4D78"/>
        </w:pBdr>
      </w:pPr>
      <w:r>
        <w:rPr>
          <w:rFonts w:ascii="Consolas" w:hAnsi="Consolas" w:eastAsia="Microsoft YaHei"/>
          <w:color w:val="203748"/>
          <w:sz w:val="21"/>
        </w:rPr>
        <w:t>权重显存（GB）≈ 总参数（B）× 每参数字节数</w:t>
      </w:r>
      <w:r>
        <w:br/>
      </w:r>
      <w:r>
        <w:rPr>
          <w:rFonts w:ascii="Consolas" w:hAnsi="Consolas" w:eastAsia="Microsoft YaHei"/>
          <w:color w:val="203748"/>
          <w:sz w:val="21"/>
        </w:rPr>
        <w:t>单副本可用显存 = 单卡显存 × 单副本总卡数 × (1 - 显存预留率)</w:t>
      </w:r>
    </w:p>
    <w:p>
      <w:pPr>
        <w:spacing w:after="120"/>
      </w:pPr>
      <w:r>
        <w:rPr>
          <w:rFonts w:ascii="Calibri" w:hAnsi="Calibri" w:eastAsia="Microsoft YaHei"/>
          <w:color w:val="1D2939"/>
          <w:sz w:val="22"/>
        </w:rPr>
        <w:t>每参数字节数采用 BF16/FP16=2、FP8=1、INT4/MXFP4≈0.5 的权重容量近似。校验不包含 KV Cache、激活、通信缓冲、临时张量和运行时开销，因此“权重可放”不是“服务一定可运行”。</w:t>
      </w:r>
    </w:p>
    <w:p>
      <w:pPr>
        <w:pStyle w:val="Heading1"/>
        <w:keepNext/>
      </w:pPr>
      <w:r>
        <w:t>3. 多机与完整副本</w:t>
      </w:r>
    </w:p>
    <w:p>
      <w:pPr>
        <w:spacing w:after="120"/>
      </w:pPr>
      <w:r>
        <w:rPr>
          <w:rFonts w:ascii="Calibri" w:hAnsi="Calibri" w:eastAsia="Microsoft YaHei"/>
          <w:color w:val="1D2939"/>
          <w:sz w:val="22"/>
        </w:rPr>
        <w:t>超大模型可能必须使用 TP/PP/EP 跨多节点组成一个完整模型副本。此时增加节点的第一作用是容纳权重和改变单副本并行效率，而不是线性增加可独立服务的模型数量。</w:t>
      </w:r>
    </w:p>
    <w:p>
      <w:pPr>
        <w:pStyle w:val="Formula"/>
        <w:shd w:fill="F8FAFC"/>
        <w:pBdr>
          <w:left w:val="single" w:sz="18" w:space="8" w:color="1F4D78"/>
        </w:pBdr>
      </w:pPr>
      <w:r>
        <w:rPr>
          <w:rFonts w:ascii="Consolas" w:hAnsi="Consolas" w:eastAsia="Microsoft YaHei"/>
          <w:color w:val="203748"/>
          <w:sz w:val="21"/>
        </w:rPr>
        <w:t>单副本节点数 = 为一个完整权重副本共同服务的节点数</w:t>
      </w:r>
      <w:r>
        <w:br/>
      </w:r>
      <w:r>
        <w:rPr>
          <w:rFonts w:ascii="Consolas" w:hAnsi="Consolas" w:eastAsia="Microsoft YaHei"/>
          <w:color w:val="203748"/>
          <w:sz w:val="21"/>
        </w:rPr>
        <w:t>独立完整副本数 = 能够独立接收请求的完整模型副本数量</w:t>
      </w:r>
      <w:r>
        <w:br/>
      </w:r>
      <w:r>
        <w:rPr>
          <w:rFonts w:ascii="Consolas" w:hAnsi="Consolas" w:eastAsia="Microsoft YaHei"/>
          <w:color w:val="203748"/>
          <w:sz w:val="21"/>
        </w:rPr>
        <w:t>总付费节点 = 单副本节点数 × 应付费完整副本数</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3000"/>
        <w:gridCol w:w="1800"/>
        <w:gridCol w:w="2660"/>
      </w:tblGrid>
      <w:tr>
        <w:trPr>
          <w:tblHeader w:val="true"/>
        </w:trPr>
        <w:tc>
          <w:tcPr>
            <w:tcW w:type="dxa" w:w="19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变化</w:t>
            </w:r>
          </w:p>
        </w:tc>
        <w:tc>
          <w:tcPr>
            <w:tcW w:type="dxa" w:w="30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吞吐影响</w:t>
            </w:r>
          </w:p>
        </w:tc>
        <w:tc>
          <w:tcPr>
            <w:tcW w:type="dxa" w:w="18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成本影响</w:t>
            </w:r>
          </w:p>
        </w:tc>
        <w:tc>
          <w:tcPr>
            <w:tcW w:type="dxa" w:w="266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系统处理</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增加单副本节点</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不保证线性；受 TP/PP/EP、互联与批处理影响</w:t>
            </w:r>
          </w:p>
        </w:tc>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节点租金增加</w:t>
            </w:r>
          </w:p>
        </w:tc>
        <w:tc>
          <w:tcPr>
            <w:tcW w:type="dxa" w:w="26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重新计算单副本上限，并要求修改或重新匹配压测</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增加独立完整副本</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可近似按副本数扩展，再乘调度效率</w:t>
            </w:r>
          </w:p>
        </w:tc>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按完整副本所含全部节点增加</w:t>
            </w:r>
          </w:p>
        </w:tc>
        <w:tc>
          <w:tcPr>
            <w:tcW w:type="dxa" w:w="26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总吞吐、付费节点、成本与报价同步更新</w:t>
            </w:r>
          </w:p>
        </w:tc>
      </w:tr>
      <w:tr>
        <w:tc>
          <w:tcPr>
            <w:tcW w:type="dxa" w:w="1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增加冗余副本</w:t>
            </w:r>
          </w:p>
        </w:tc>
        <w:tc>
          <w:tcPr>
            <w:tcW w:type="dxa" w:w="3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不计入稳定业务处理量</w:t>
            </w:r>
          </w:p>
        </w:tc>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租金增加</w:t>
            </w:r>
          </w:p>
        </w:tc>
        <w:tc>
          <w:tcPr>
            <w:tcW w:type="dxa" w:w="26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计入付费副本和成本，不计入服务吞吐</w:t>
            </w:r>
          </w:p>
        </w:tc>
      </w:tr>
    </w:tbl>
    <w:p>
      <w:pPr>
        <w:spacing w:after="40"/>
      </w:pPr>
    </w:p>
    <w:p>
      <w:pPr>
        <w:spacing w:before="80" w:after="180" w:line="288" w:lineRule="auto"/>
        <w:ind w:left="259" w:right="173"/>
        <w:shd w:fill="F4F6F9"/>
        <w:pBdr>
          <w:left w:val="single" w:sz="18" w:space="8" w:color="2E64E8"/>
        </w:pBdr>
      </w:pPr>
      <w:r>
        <w:rPr>
          <w:rFonts w:ascii="Calibri" w:hAnsi="Calibri" w:eastAsia="Microsoft YaHei"/>
          <w:b/>
          <w:color w:val="203748"/>
          <w:sz w:val="22"/>
        </w:rPr>
        <w:t xml:space="preserve">设计边界  </w:t>
      </w:r>
      <w:r>
        <w:rPr>
          <w:rFonts w:ascii="Calibri" w:hAnsi="Calibri" w:eastAsia="Microsoft YaHei"/>
          <w:color w:val="1D2939"/>
          <w:sz w:val="22"/>
        </w:rPr>
        <w:t>拓扑字段只做基本整数与资源上限校验；真实 TP/PP/EP 组合、互联带宽利用率和通信重叠仍以部署框架与压测结果为准。</w:t>
      </w:r>
    </w:p>
    <w:p>
      <w:pPr>
        <w:pStyle w:val="Heading1"/>
        <w:keepNext/>
      </w:pPr>
      <w:r>
        <w:t>4. QPS 规划与成本</w:t>
      </w:r>
    </w:p>
    <w:p>
      <w:pPr>
        <w:pStyle w:val="Heading2"/>
        <w:keepNext/>
      </w:pPr>
      <w:r>
        <w:t>4.1 输出需求与 Prefill 负载分离</w:t>
      </w:r>
    </w:p>
    <w:p>
      <w:pPr>
        <w:pStyle w:val="Formula"/>
        <w:shd w:fill="F8FAFC"/>
        <w:pBdr>
          <w:left w:val="single" w:sz="18" w:space="8" w:color="1F4D78"/>
        </w:pBdr>
      </w:pPr>
      <w:r>
        <w:rPr>
          <w:rFonts w:ascii="Consolas" w:hAnsi="Consolas" w:eastAsia="Microsoft YaHei"/>
          <w:color w:val="203748"/>
          <w:sz w:val="21"/>
        </w:rPr>
        <w:t>输出需求 TPS = QPS × 平均输出 OSL</w:t>
      </w:r>
      <w:r>
        <w:br/>
      </w:r>
      <w:r>
        <w:rPr>
          <w:rFonts w:ascii="Consolas" w:hAnsi="Consolas" w:eastAsia="Microsoft YaHei"/>
          <w:color w:val="203748"/>
          <w:sz w:val="21"/>
        </w:rPr>
        <w:t>无压测等效规划负载 = QPS × (OSL + ISL × Prefill 等效负载系数)</w:t>
      </w:r>
    </w:p>
    <w:p>
      <w:pPr>
        <w:spacing w:after="120"/>
      </w:pPr>
      <w:r>
        <w:rPr>
          <w:rFonts w:ascii="Calibri" w:hAnsi="Calibri" w:eastAsia="Microsoft YaHei"/>
          <w:color w:val="1D2939"/>
          <w:sz w:val="22"/>
        </w:rPr>
        <w:t>输入 Token 会消耗 Prefill 计算，但通常不是输出 Token 报价的产量。因此无压测时，等效负载用于反算副本；月输出 Token 和单位成本分母仍使用输出需求 TPS。若采用同 ISL/OSL/并发下的实测 Aggregate Output TPS，则该实测已经反映 Prefill，系统不再重复加权输入。</w:t>
      </w:r>
    </w:p>
    <w:p>
      <w:pPr>
        <w:pStyle w:val="Heading2"/>
        <w:keepNext/>
      </w:pPr>
      <w:r>
        <w:t>4.2 副本反算</w:t>
      </w:r>
    </w:p>
    <w:p>
      <w:pPr>
        <w:pStyle w:val="Formula"/>
        <w:shd w:fill="F8FAFC"/>
        <w:pBdr>
          <w:left w:val="single" w:sz="18" w:space="8" w:color="1F4D78"/>
        </w:pBdr>
      </w:pPr>
      <w:r>
        <w:rPr>
          <w:rFonts w:ascii="Consolas" w:hAnsi="Consolas" w:eastAsia="Microsoft YaHei"/>
          <w:color w:val="203748"/>
          <w:sz w:val="21"/>
        </w:rPr>
        <w:t>原始服务副本 = ceil(规划负载 ÷ 单副本规划 TPS ÷ 目标负载率)</w:t>
      </w:r>
      <w:r>
        <w:br/>
      </w:r>
      <w:r>
        <w:rPr>
          <w:rFonts w:ascii="Consolas" w:hAnsi="Consolas" w:eastAsia="Microsoft YaHei"/>
          <w:color w:val="203748"/>
          <w:sz w:val="21"/>
        </w:rPr>
        <w:t>服务副本 = ceil(规划负载 ÷ 单副本规划 TPS ÷ 目标负载率 ÷ 副本间调度效率)</w:t>
      </w:r>
      <w:r>
        <w:br/>
      </w:r>
      <w:r>
        <w:rPr>
          <w:rFonts w:ascii="Consolas" w:hAnsi="Consolas" w:eastAsia="Microsoft YaHei"/>
          <w:color w:val="203748"/>
          <w:sz w:val="21"/>
        </w:rPr>
        <w:t>应付费副本 = 服务副本 + 额外冗余副本</w:t>
      </w:r>
    </w:p>
    <w:p>
      <w:pPr>
        <w:pStyle w:val="Heading2"/>
        <w:keepNext/>
      </w:pPr>
      <w:r>
        <w:t>4.3 成本与报价</w:t>
      </w:r>
    </w:p>
    <w:p>
      <w:pPr>
        <w:pStyle w:val="Formula"/>
        <w:shd w:fill="F8FAFC"/>
        <w:pBdr>
          <w:left w:val="single" w:sz="18" w:space="8" w:color="1F4D78"/>
        </w:pBdr>
      </w:pPr>
      <w:r>
        <w:rPr>
          <w:rFonts w:ascii="Consolas" w:hAnsi="Consolas" w:eastAsia="Microsoft YaHei"/>
          <w:color w:val="203748"/>
          <w:sz w:val="21"/>
        </w:rPr>
        <w:t>月输出 Token = 输出需求 TPS × 运行天数 × 日均有效负载小时 × 3600</w:t>
      </w:r>
      <w:r>
        <w:br/>
      </w:r>
      <w:r>
        <w:rPr>
          <w:rFonts w:ascii="Consolas" w:hAnsi="Consolas" w:eastAsia="Microsoft YaHei"/>
          <w:color w:val="203748"/>
          <w:sz w:val="21"/>
        </w:rPr>
        <w:t>硬件成本/百万输出 Token = 全部付费节点月租 ÷ 月输出 Token × 1,000,000</w:t>
      </w:r>
      <w:r>
        <w:br/>
      </w:r>
      <w:r>
        <w:rPr>
          <w:rFonts w:ascii="Consolas" w:hAnsi="Consolas" w:eastAsia="Microsoft YaHei"/>
          <w:color w:val="203748"/>
          <w:sz w:val="21"/>
        </w:rPr>
        <w:t>建议报价 = 硬件成本 ÷ (1 - 目标毛利率)</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4900"/>
        <w:gridCol w:w="2460"/>
      </w:tblGrid>
      <w:tr>
        <w:trPr>
          <w:tblHeader w:val="true"/>
        </w:trPr>
        <w:tc>
          <w:tcPr>
            <w:tcW w:type="dxa" w:w="20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默认示例</w:t>
            </w:r>
          </w:p>
        </w:tc>
        <w:tc>
          <w:tcPr>
            <w:tcW w:type="dxa" w:w="49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计算</w:t>
            </w:r>
          </w:p>
        </w:tc>
        <w:tc>
          <w:tcPr>
            <w:tcW w:type="dxa" w:w="246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结果</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单副本上限</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626 TFLOPS × 16 卡 ÷ (2 × 40B)</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125,200 token/s</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单副本规划能力</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125,200 × 50% 并行 × 20% 规划</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12,520 token/s</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等效规划负载</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50 QPS × (240 OSL + 1,024 ISL × 1.00)</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63,200 token/s</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服务副本</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ceil(63,200 ÷ 12,520 ÷ 80% ÷ 95%)</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7 个</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硬件成本</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7 副本 × 2 节点 × ¥55,000 ÷ 31.104B 输出 Token</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约 ¥24.76 / 百万输出 Token</w:t>
            </w:r>
          </w:p>
        </w:tc>
      </w:tr>
      <w:tr>
        <w:tc>
          <w:tcPr>
            <w:tcW w:type="dxa" w:w="20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50% 毛利报价</w:t>
            </w:r>
          </w:p>
        </w:tc>
        <w:tc>
          <w:tcPr>
            <w:tcW w:type="dxa" w:w="49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¥24.76 ÷ (1 - 50%)</w:t>
            </w:r>
          </w:p>
        </w:tc>
        <w:tc>
          <w:tcPr>
            <w:tcW w:type="dxa" w:w="246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约 ¥49.51 / 百万输出 Token</w:t>
            </w:r>
          </w:p>
        </w:tc>
      </w:tr>
    </w:tbl>
    <w:p>
      <w:pPr>
        <w:spacing w:after="40"/>
      </w:pPr>
    </w:p>
    <w:p>
      <w:pPr>
        <w:pStyle w:val="Heading1"/>
        <w:keepNext/>
      </w:pPr>
      <w:r>
        <w:t>5. 压测严格匹配</w:t>
      </w:r>
    </w:p>
    <w:p>
      <w:pPr>
        <w:spacing w:after="120"/>
      </w:pPr>
      <w:r>
        <w:rPr>
          <w:rFonts w:ascii="Calibri" w:hAnsi="Calibri" w:eastAsia="Microsoft YaHei"/>
          <w:color w:val="1D2939"/>
          <w:sz w:val="22"/>
        </w:rPr>
        <w:t>一个压测值只有在当前部署与工作负载指纹全部一致时才具备可复用性。系统保存的是单副本 Aggregate Output TPS，不保存已经乘过完整副本数的集群总 TPS。</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4740"/>
        <w:gridCol w:w="2820"/>
      </w:tblGrid>
      <w:tr>
        <w:trPr>
          <w:tblHeader w:val="true"/>
        </w:trPr>
        <w:tc>
          <w:tcPr>
            <w:tcW w:type="dxa" w:w="18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指纹组</w:t>
            </w:r>
          </w:p>
        </w:tc>
        <w:tc>
          <w:tcPr>
            <w:tcW w:type="dxa" w:w="474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严格匹配字段</w:t>
            </w:r>
          </w:p>
        </w:tc>
        <w:tc>
          <w:tcPr>
            <w:tcW w:type="dxa" w:w="282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不匹配时处理</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模型与精度</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模型名、结构、激活/总参数、权重精度</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停用实测，回退规划估算</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硬件</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型号、BF16 算力、量化倍率、卡数、显存</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停用实测</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拓扑</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节点数、整机卡数、TP/PP/EP</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停用实测</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互联</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互联类型、单节点跨机带宽、RDMA 状态</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缺失或不同均不应用</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运行时</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推理框架、框架或镜像版本</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缺失或不同均不应用</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工作负载</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ISL、OSL、并发</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停用实测</w:t>
            </w:r>
          </w:p>
        </w:tc>
      </w:tr>
      <w:tr>
        <w:tc>
          <w:tcPr>
            <w:tcW w:type="dxa" w:w="18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SLA</w:t>
            </w:r>
          </w:p>
        </w:tc>
        <w:tc>
          <w:tcPr>
            <w:tcW w:type="dxa" w:w="474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已设置的 P95 TTFT / ITL 上限</w:t>
            </w:r>
          </w:p>
        </w:tc>
        <w:tc>
          <w:tcPr>
            <w:tcW w:type="dxa" w:w="282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压测不达标则停用</w:t>
            </w:r>
          </w:p>
        </w:tc>
      </w:tr>
    </w:tbl>
    <w:p>
      <w:pPr>
        <w:spacing w:after="40"/>
      </w:pPr>
    </w:p>
    <w:p>
      <w:pPr>
        <w:spacing w:after="120"/>
      </w:pPr>
      <w:r>
        <w:rPr>
          <w:rFonts w:ascii="Calibri" w:hAnsi="Calibri" w:eastAsia="Microsoft YaHei"/>
          <w:b/>
          <w:color w:val="1D2939"/>
          <w:sz w:val="22"/>
        </w:rPr>
        <w:t>旧配置兼容：</w:t>
      </w:r>
      <w:r>
        <w:rPr>
          <w:rFonts w:ascii="Calibri" w:hAnsi="Calibri" w:eastAsia="Microsoft YaHei"/>
          <w:color w:val="1D2939"/>
          <w:sz w:val="22"/>
        </w:rPr>
        <w:t>历史压测仍保留在 localStorage 中，但若缺少互联或运行时指纹，会标记为旧配置且不会严格应用。用户补齐当前字段并重新保存后，可升级为 v2.0 指纹。</w:t>
      </w:r>
    </w:p>
    <w:p>
      <w:pPr>
        <w:pStyle w:val="Heading1"/>
        <w:keepNext/>
      </w:pPr>
      <w:r>
        <w:t>6. 固定校验与失败保护</w:t>
      </w:r>
    </w:p>
    <w:p>
      <w:pPr>
        <w:spacing w:after="80" w:line="300" w:lineRule="auto"/>
        <w:numPr>
          <w:ilvl w:val="0"/>
          <w:numId w:val="10"/>
        </w:numPr>
      </w:pPr>
      <w:r>
        <w:rPr>
          <w:rFonts w:ascii="Calibri" w:hAnsi="Calibri" w:eastAsia="Microsoft YaHei"/>
          <w:color w:val="1D2939"/>
          <w:sz w:val="22"/>
        </w:rPr>
        <w:t>卡数、整机标准卡数、节点数、完整副本数和冗余副本必须为规定范围内的整数。</w:t>
      </w:r>
    </w:p>
    <w:p>
      <w:pPr>
        <w:spacing w:after="80" w:line="300" w:lineRule="auto"/>
        <w:numPr>
          <w:ilvl w:val="0"/>
          <w:numId w:val="10"/>
        </w:numPr>
      </w:pPr>
      <w:r>
        <w:rPr>
          <w:rFonts w:ascii="Calibri" w:hAnsi="Calibri" w:eastAsia="Microsoft YaHei"/>
          <w:color w:val="1D2939"/>
          <w:sz w:val="22"/>
        </w:rPr>
        <w:t>多机模式至少需要 2 个节点；每节点实际卡数不得超过整机标准卡数。</w:t>
      </w:r>
    </w:p>
    <w:p>
      <w:pPr>
        <w:spacing w:after="80" w:line="300" w:lineRule="auto"/>
        <w:numPr>
          <w:ilvl w:val="0"/>
          <w:numId w:val="10"/>
        </w:numPr>
      </w:pPr>
      <w:r>
        <w:rPr>
          <w:rFonts w:ascii="Calibri" w:hAnsi="Calibri" w:eastAsia="Microsoft YaHei"/>
          <w:color w:val="1D2939"/>
          <w:sz w:val="22"/>
        </w:rPr>
        <w:t>激活参数必须大于 0 且不超过总参数；权重必须放入预留后的单副本显存。</w:t>
      </w:r>
    </w:p>
    <w:p>
      <w:pPr>
        <w:spacing w:after="80" w:line="300" w:lineRule="auto"/>
        <w:numPr>
          <w:ilvl w:val="0"/>
          <w:numId w:val="10"/>
        </w:numPr>
      </w:pPr>
      <w:r>
        <w:rPr>
          <w:rFonts w:ascii="Calibri" w:hAnsi="Calibri" w:eastAsia="Microsoft YaHei"/>
          <w:color w:val="1D2939"/>
          <w:sz w:val="22"/>
        </w:rPr>
        <w:t>效率与负载率必须在 (0%, 100%]；毛利率在 [0%, 100%)；运行天数和日均时长必须在合理范围。</w:t>
      </w:r>
    </w:p>
    <w:p>
      <w:pPr>
        <w:spacing w:after="80" w:line="300" w:lineRule="auto"/>
        <w:numPr>
          <w:ilvl w:val="0"/>
          <w:numId w:val="10"/>
        </w:numPr>
      </w:pPr>
      <w:r>
        <w:rPr>
          <w:rFonts w:ascii="Calibri" w:hAnsi="Calibri" w:eastAsia="Microsoft YaHei"/>
          <w:color w:val="1D2939"/>
          <w:sz w:val="22"/>
        </w:rPr>
        <w:t>TP/PP/EP 必须为正整数，且 TP × PP 不得超过单副本总卡数。</w:t>
      </w:r>
    </w:p>
    <w:p>
      <w:pPr>
        <w:spacing w:after="80" w:line="300" w:lineRule="auto"/>
        <w:numPr>
          <w:ilvl w:val="0"/>
          <w:numId w:val="10"/>
        </w:numPr>
      </w:pPr>
      <w:r>
        <w:rPr>
          <w:rFonts w:ascii="Calibri" w:hAnsi="Calibri" w:eastAsia="Microsoft YaHei"/>
          <w:color w:val="1D2939"/>
          <w:sz w:val="22"/>
        </w:rPr>
        <w:t>无效配置保留理论参考显示，但硬件成本与建议报价被明确停用；输入不会被静默替换成默认值。</w:t>
      </w:r>
    </w:p>
    <w:p>
      <w:pPr>
        <w:pStyle w:val="Heading1"/>
        <w:keepNext/>
      </w:pPr>
      <w:r>
        <w:t>7. v2.0 更新与验证结果</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4250"/>
        <w:gridCol w:w="2810"/>
      </w:tblGrid>
      <w:tr>
        <w:trPr>
          <w:tblHeader w:val="true"/>
        </w:trPr>
        <w:tc>
          <w:tcPr>
            <w:tcW w:type="dxa" w:w="230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问题</w:t>
            </w:r>
          </w:p>
        </w:tc>
        <w:tc>
          <w:tcPr>
            <w:tcW w:type="dxa" w:w="425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v2.0 修改</w:t>
            </w:r>
          </w:p>
        </w:tc>
        <w:tc>
          <w:tcPr>
            <w:tcW w:type="dxa" w:w="2810"/>
            <w:tcMar>
              <w:top w:w="80" w:type="dxa"/>
              <w:bottom w:w="80" w:type="dxa"/>
              <w:start w:w="120" w:type="dxa"/>
              <w:end w:w="120" w:type="dxa"/>
            </w:tcMar>
            <w:vAlign w:val="center"/>
            <w:shd w:fill="E8EEF5"/>
          </w:tcPr>
          <w:p>
            <w:pPr>
              <w:spacing w:before="0" w:after="0" w:line="276" w:lineRule="auto"/>
              <w:jc w:val="left"/>
            </w:pPr>
            <w:r>
              <w:rPr>
                <w:rFonts w:ascii="Calibri" w:hAnsi="Calibri" w:eastAsia="Microsoft YaHei"/>
                <w:b/>
                <w:color w:val="203748"/>
                <w:sz w:val="19"/>
              </w:rPr>
              <w:t>验证结果</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非法数值被静默改写</w:t>
            </w:r>
          </w:p>
        </w:tc>
        <w:tc>
          <w:tcPr>
            <w:tcW w:type="dxa" w:w="42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改为显式整数、范围和资源校验</w:t>
            </w:r>
          </w:p>
        </w:tc>
        <w:tc>
          <w:tcPr>
            <w:tcW w:type="dxa" w:w="28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无效配置停止成本与报价</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QPS 忽略输入负载</w:t>
            </w:r>
          </w:p>
        </w:tc>
        <w:tc>
          <w:tcPr>
            <w:tcW w:type="dxa" w:w="42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新增 Prefill 等效负载，输出仍单独计费</w:t>
            </w:r>
          </w:p>
        </w:tc>
        <w:tc>
          <w:tcPr>
            <w:tcW w:type="dxa" w:w="28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默认示例等效负载 63,200 token/s</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节点与副本概念混淆</w:t>
            </w:r>
          </w:p>
        </w:tc>
        <w:tc>
          <w:tcPr>
            <w:tcW w:type="dxa" w:w="42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拆分副本内部署与独立完整副本扩容</w:t>
            </w:r>
          </w:p>
        </w:tc>
        <w:tc>
          <w:tcPr>
            <w:tcW w:type="dxa" w:w="28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摘要、吞吐和租金分别联动</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副本变化价格不变</w:t>
            </w:r>
          </w:p>
        </w:tc>
        <w:tc>
          <w:tcPr>
            <w:tcW w:type="dxa" w:w="42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付费节点直接使用服务+冗余副本数</w:t>
            </w:r>
          </w:p>
        </w:tc>
        <w:tc>
          <w:tcPr>
            <w:tcW w:type="dxa" w:w="28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7 副本示例成本约 ¥24.76/M</w:t>
            </w:r>
          </w:p>
        </w:tc>
      </w:tr>
      <w:tr>
        <w:tc>
          <w:tcPr>
            <w:tcW w:type="dxa" w:w="230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压测指纹不完整</w:t>
            </w:r>
          </w:p>
        </w:tc>
        <w:tc>
          <w:tcPr>
            <w:tcW w:type="dxa" w:w="425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加入互联、带宽、RDMA、框架与版本</w:t>
            </w:r>
          </w:p>
        </w:tc>
        <w:tc>
          <w:tcPr>
            <w:tcW w:type="dxa" w:w="2810"/>
            <w:tcMar>
              <w:top w:w="80" w:type="dxa"/>
              <w:bottom w:w="80" w:type="dxa"/>
              <w:start w:w="120" w:type="dxa"/>
              <w:end w:w="120" w:type="dxa"/>
            </w:tcMar>
            <w:vAlign w:val="center"/>
          </w:tcPr>
          <w:p>
            <w:pPr>
              <w:spacing w:before="0" w:after="0" w:line="276" w:lineRule="auto"/>
              <w:jc w:val="left"/>
            </w:pPr>
            <w:r>
              <w:rPr>
                <w:rFonts w:ascii="Calibri" w:hAnsi="Calibri" w:eastAsia="Microsoft YaHei"/>
                <w:b w:val="0"/>
                <w:color w:val="1D2939"/>
                <w:sz w:val="19"/>
              </w:rPr>
              <w:t>旧配置保留但不会错误应用</w:t>
            </w:r>
          </w:p>
        </w:tc>
      </w:tr>
    </w:tbl>
    <w:p>
      <w:pPr>
        <w:spacing w:after="40"/>
      </w:pPr>
    </w:p>
    <w:p>
      <w:pPr>
        <w:spacing w:before="80" w:after="180" w:line="288" w:lineRule="auto"/>
        <w:ind w:left="259" w:right="173"/>
        <w:shd w:fill="F4F6F9"/>
        <w:pBdr>
          <w:left w:val="single" w:sz="18" w:space="8" w:color="2E64E8"/>
        </w:pBdr>
      </w:pPr>
      <w:r>
        <w:rPr>
          <w:rFonts w:ascii="Calibri" w:hAnsi="Calibri" w:eastAsia="Microsoft YaHei"/>
          <w:b/>
          <w:color w:val="203748"/>
          <w:sz w:val="22"/>
        </w:rPr>
        <w:t xml:space="preserve">回归结果  </w:t>
      </w:r>
      <w:r>
        <w:rPr>
          <w:rFonts w:ascii="Calibri" w:hAnsi="Calibri" w:eastAsia="Microsoft YaHei"/>
          <w:color w:val="1D2939"/>
          <w:sz w:val="22"/>
        </w:rPr>
        <w:t>HTML 内两段脚本通过 JavaScript 语法解析；默认容量、Prefill-QPS、副本计费、整数校验和拓扑上限场景均通过公式回归。</w:t>
      </w:r>
    </w:p>
    <w:p>
      <w:pPr>
        <w:pStyle w:val="Heading1"/>
        <w:keepNext/>
      </w:pPr>
      <w:r>
        <w:t>8. 依据与适用边界</w:t>
      </w:r>
    </w:p>
    <w:p>
      <w:pPr>
        <w:spacing w:after="80" w:line="300" w:lineRule="auto"/>
        <w:numPr>
          <w:ilvl w:val="0"/>
          <w:numId w:val="10"/>
        </w:numPr>
      </w:pPr>
      <w:r>
        <w:rPr>
          <w:rFonts w:ascii="Calibri" w:hAnsi="Calibri" w:eastAsia="Microsoft YaHei"/>
          <w:b/>
          <w:color w:val="1D2939"/>
          <w:sz w:val="22"/>
        </w:rPr>
        <w:t>vLLM Parallelism and Scaling：</w:t>
      </w:r>
      <w:r>
        <w:rPr>
          <w:rFonts w:ascii="Calibri" w:hAnsi="Calibri" w:eastAsia="Microsoft YaHei"/>
          <w:color w:val="1D2939"/>
          <w:sz w:val="22"/>
        </w:rPr>
        <w:t>https://docs.vllm.ai/en/latest/serving/parallelism_scaling/</w:t>
      </w:r>
    </w:p>
    <w:p>
      <w:pPr>
        <w:spacing w:after="80" w:line="300" w:lineRule="auto"/>
        <w:numPr>
          <w:ilvl w:val="0"/>
          <w:numId w:val="10"/>
        </w:numPr>
      </w:pPr>
      <w:r>
        <w:rPr>
          <w:rFonts w:ascii="Calibri" w:hAnsi="Calibri" w:eastAsia="Microsoft YaHei"/>
          <w:b/>
          <w:color w:val="1D2939"/>
          <w:sz w:val="22"/>
        </w:rPr>
        <w:t>vLLM Data Parallel Deployment：</w:t>
      </w:r>
      <w:r>
        <w:rPr>
          <w:rFonts w:ascii="Calibri" w:hAnsi="Calibri" w:eastAsia="Microsoft YaHei"/>
          <w:color w:val="1D2939"/>
          <w:sz w:val="22"/>
        </w:rPr>
        <w:t>https://docs.vllm.ai/en/stable/serving/data_parallel_deployment/</w:t>
      </w:r>
    </w:p>
    <w:p>
      <w:pPr>
        <w:spacing w:after="80" w:line="300" w:lineRule="auto"/>
        <w:numPr>
          <w:ilvl w:val="0"/>
          <w:numId w:val="10"/>
        </w:numPr>
      </w:pPr>
      <w:r>
        <w:rPr>
          <w:rFonts w:ascii="Calibri" w:hAnsi="Calibri" w:eastAsia="Microsoft YaHei"/>
          <w:b/>
          <w:color w:val="1D2939"/>
          <w:sz w:val="22"/>
        </w:rPr>
        <w:t>vLLM Bench Serve：</w:t>
      </w:r>
      <w:r>
        <w:rPr>
          <w:rFonts w:ascii="Calibri" w:hAnsi="Calibri" w:eastAsia="Microsoft YaHei"/>
          <w:color w:val="1D2939"/>
          <w:sz w:val="22"/>
        </w:rPr>
        <w:t>https://docs.vllm.ai/en/latest/cli/bench/serve/</w:t>
      </w:r>
    </w:p>
    <w:p>
      <w:pPr>
        <w:spacing w:after="80" w:line="300" w:lineRule="auto"/>
        <w:numPr>
          <w:ilvl w:val="0"/>
          <w:numId w:val="10"/>
        </w:numPr>
      </w:pPr>
      <w:r>
        <w:rPr>
          <w:rFonts w:ascii="Calibri" w:hAnsi="Calibri" w:eastAsia="Microsoft YaHei"/>
          <w:b/>
          <w:color w:val="1D2939"/>
          <w:sz w:val="22"/>
        </w:rPr>
        <w:t>NVIDIA NIM LLM Benchmark Metrics：</w:t>
      </w:r>
      <w:r>
        <w:rPr>
          <w:rFonts w:ascii="Calibri" w:hAnsi="Calibri" w:eastAsia="Microsoft YaHei"/>
          <w:color w:val="1D2939"/>
          <w:sz w:val="22"/>
        </w:rPr>
        <w:t>https://docs.nvidia.com/nim/benchmarking/llm/latest/metrics.html</w:t>
      </w:r>
    </w:p>
    <w:p>
      <w:pPr>
        <w:spacing w:after="80" w:line="300" w:lineRule="auto"/>
        <w:numPr>
          <w:ilvl w:val="0"/>
          <w:numId w:val="10"/>
        </w:numPr>
      </w:pPr>
      <w:r>
        <w:rPr>
          <w:rFonts w:ascii="Calibri" w:hAnsi="Calibri" w:eastAsia="Microsoft YaHei"/>
          <w:b/>
          <w:color w:val="1D2939"/>
          <w:sz w:val="22"/>
        </w:rPr>
        <w:t>NVIDIA NIM Benchmark Parameters：</w:t>
      </w:r>
      <w:r>
        <w:rPr>
          <w:rFonts w:ascii="Calibri" w:hAnsi="Calibri" w:eastAsia="Microsoft YaHei"/>
          <w:color w:val="1D2939"/>
          <w:sz w:val="22"/>
        </w:rPr>
        <w:t>https://docs.nvidia.com/nim/benchmarking/llm/latest/parameters.html</w:t>
      </w:r>
    </w:p>
    <w:p>
      <w:pPr>
        <w:spacing w:after="80" w:line="300" w:lineRule="auto"/>
        <w:numPr>
          <w:ilvl w:val="0"/>
          <w:numId w:val="10"/>
        </w:numPr>
      </w:pPr>
      <w:r>
        <w:rPr>
          <w:rFonts w:ascii="Calibri" w:hAnsi="Calibri" w:eastAsia="Microsoft YaHei"/>
          <w:b/>
          <w:color w:val="1D2939"/>
          <w:sz w:val="22"/>
        </w:rPr>
        <w:t>Moonshot Kimi K2 Deployment Guidance：</w:t>
      </w:r>
      <w:r>
        <w:rPr>
          <w:rFonts w:ascii="Calibri" w:hAnsi="Calibri" w:eastAsia="Microsoft YaHei"/>
          <w:color w:val="1D2939"/>
          <w:sz w:val="22"/>
        </w:rPr>
        <w:t>https://github.com/MoonshotAI/Kimi-K2/blob/main/docs/deploy_guidance.md</w:t>
      </w:r>
    </w:p>
    <w:p>
      <w:pPr>
        <w:spacing w:after="120"/>
      </w:pPr>
      <w:r>
        <w:rPr>
          <w:rFonts w:ascii="Calibri" w:hAnsi="Calibri" w:eastAsia="Microsoft YaHei"/>
          <w:color w:val="667085"/>
          <w:sz w:val="22"/>
        </w:rPr>
        <w:t>适用边界：FLOPS 模型是 Decode 粗略上限；Prefill 等效系数是可校准近似；权重显存不包含运行时全部内存；压测 TPS 必须与时延和工作负载一起解释。正式采购、上线、SLA 和报价仍需真实环境验证。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8"/>
      </w:rPr>
      <w:t xml:space="preserve">2026-08-03  ·  第 </w:t>
    </w:r>
    <w:r>
      <w:rPr>
        <w:rFonts w:ascii="Calibri" w:hAnsi="Calibri" w:eastAsia="Microsoft YaHei"/>
        <w:color w:val="667085"/>
        <w:sz w:val="18"/>
      </w:rPr>
      <w:fldChar w:fldCharType="begin"/>
      <w:instrText xml:space="preserve"> PAGE </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Microsoft YaHei"/>
        <w:color w:val="667085"/>
        <w:sz w:val="18"/>
      </w:rPr>
      <w:t>Token API 成本测算工具 · 计算口径与更新报告</w:t>
    </w:r>
    <w:r>
      <w:rPr>
        <w:rFonts w:ascii="Calibri" w:hAnsi="Calibri" w:eastAsia="Microsoft YaHei"/>
        <w:color w:val="667085"/>
        <w:sz w:val="18"/>
      </w:rPr>
      <w:tab/>
      <w:t>版本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160" w:line="276" w:lineRule="auto"/>
      <w:ind w:left="259" w:right="259"/>
    </w:pPr>
    <w:rPr>
      <w:rFonts w:ascii="Consolas" w:hAnsi="Consolas" w:eastAsia="Microsoft YaHei"/>
      <w:b w:val="0"/>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 API 成本测算工具 · 计算口径与更新报告</dc:title>
  <dc:subject>v2.0 公式、规则、验证和变更记录</dc:subject>
  <dc:creator>紫东太初算力运营</dc:creator>
  <cp:keywords>Token API, 成本测算, 多机部署, QPS, Aggregate Output TPS</cp:keywords>
  <dc:description>generated by python-docx</dc:description>
  <cp:lastModifiedBy/>
  <cp:revision>1</cp:revision>
  <dcterms:created xsi:type="dcterms:W3CDTF">2013-12-23T23:15:00Z</dcterms:created>
  <dcterms:modified xsi:type="dcterms:W3CDTF">2013-12-23T23:15:00Z</dcterms:modified>
  <cp:category/>
</cp:coreProperties>
</file>