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CALCULATION SPECIFICATION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Token API 成本测算工具</w:t>
      </w:r>
    </w:p>
    <w:p>
      <w:pPr>
        <w:spacing w:after="680"/>
        <w:jc w:val="center"/>
      </w:pPr>
      <w:r>
        <w:rPr>
          <w:rFonts w:ascii="Calibri" w:hAnsi="Calibri" w:eastAsia="Microsoft YaHei"/>
          <w:color w:val="667085"/>
          <w:sz w:val="28"/>
        </w:rPr>
        <w:t>计算口径与更新报告 · v3.1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center"/>
      </w:pPr>
      <w:r>
        <w:rPr>
          <w:rFonts w:ascii="Calibri" w:hAnsi="Calibri" w:eastAsia="Microsoft YaHei"/>
          <w:b/>
          <w:color w:val="1F4D78"/>
          <w:sz w:val="22"/>
        </w:rPr>
        <w:t>理论上限 → 工程预设 → 严格匹配压测 → 成本与报价</w:t>
      </w:r>
    </w:p>
    <w:p>
      <w:pPr>
        <w:spacing w:before="720" w:after="80"/>
        <w:jc w:val="center"/>
      </w:pPr>
      <w:r>
        <w:rPr>
          <w:rFonts w:ascii="Calibri" w:hAnsi="Calibri" w:eastAsia="Microsoft YaHei"/>
          <w:b/>
          <w:color w:val="1D2939"/>
          <w:sz w:val="22"/>
        </w:rPr>
        <w:t>版本 v3.0</w:t>
      </w:r>
    </w:p>
    <w:p>
      <w:pPr>
        <w:jc w:val="center"/>
      </w:pPr>
      <w:r>
        <w:rPr>
          <w:rFonts w:ascii="Calibri" w:hAnsi="Calibri" w:eastAsia="Microsoft YaHei"/>
          <w:color w:val="667085"/>
          <w:sz w:val="20"/>
        </w:rPr>
        <w:t>更新日期：2026-08-05</w:t>
      </w:r>
    </w:p>
    <w:p>
      <w:r>
        <w:br w:type="page"/>
      </w:r>
    </w:p>
    <w:p>
      <w:pPr>
        <w:pStyle w:val="Heading1"/>
      </w:pPr>
      <w:r>
        <w:t>1. 本次更新结论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主要变化：</w:t>
      </w:r>
      <w:r>
        <w:rPr>
          <w:rFonts w:ascii="Calibri" w:hAnsi="Calibri" w:eastAsia="Microsoft YaHei"/>
          <w:color w:val="1D2939"/>
          <w:sz w:val="22"/>
        </w:rPr>
        <w:t>多机成本入口合并为一个问题：“副本增加时，硬件如何变化？”默认按副本同步增加硬件；固定节点池按节点容量分组；实测空卡共用收进高级设置。无压测吞吐继续使用 Amdahl 非线性估算，严格匹配压测仍拥有最高优先级。</w:t>
      </w:r>
    </w:p>
    <w:p>
      <w:r>
        <w:t>此次更新解决“节点、实际卡数、完整副本和付费资源混为同一数量”的问题。系统现在分别计算单副本吞吐、硬件池容量、付费资源组、总月租和单位 Token 成本。</w:t>
      </w:r>
    </w:p>
    <w:p>
      <w:pPr>
        <w:pStyle w:val="Heading1"/>
      </w:pPr>
      <w:r>
        <w:t>2. 计算优先级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51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优先级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数据口径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系统行为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严格匹配实测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单机采用整机 TPS；多机采用单副本 TPS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工程场景预设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采用 Amdahl 多卡/多机扩展和效率参数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理论上限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仅用于容量边界、利用率和合理性检查</w:t>
            </w:r>
          </w:p>
        </w:tc>
      </w:tr>
    </w:tbl>
    <w:p>
      <w:pPr>
        <w:spacing w:after="0"/>
      </w:pPr>
    </w:p>
    <w:p>
      <w:pPr>
        <w:pStyle w:val="Heading1"/>
      </w:pPr>
      <w:r>
        <w:t>3. 模型与显存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权重显存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总参数量（B）× 每参数字节数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精度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显存近似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计算倍率口径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BF16/FP16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2 B/参数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基准倍率固定 1.00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FP8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 B/参数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默认 1.00，实测后保存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INT4/MXFP4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0.5 B/参数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默认 1.00，实测后保存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单副本可用显存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单卡显存 × 单副本实际总卡数 ×（1 - 显存预留率）</w:t>
      </w:r>
    </w:p>
    <w:p>
      <w:r>
        <w:t>总参数用于权重显存；MoE 的每 Token 激活参数用于吞吐计算。权重可放入只是基础校验，不代表服务运行时容量满足。</w:t>
      </w:r>
    </w:p>
    <w:p>
      <w:pPr>
        <w:pStyle w:val="Heading1"/>
      </w:pPr>
      <w:r>
        <w:t>4. 理论 Decode 上限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单卡理论吞吐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单卡 BF16/FP16 FLOPS × 量化内核倍率 ÷（2 × 每 Token 激活参数）</w:t>
      </w:r>
    </w:p>
    <w:p>
      <w:r>
        <w:t>公式中的 2 × 激活参数是 Transformer 前向 Decode 的粗略 FLOPs 近似。该值不包含访存、通信、排队、批处理和服务框架损耗，因此只作为上限。</w:t>
      </w:r>
    </w:p>
    <w:p>
      <w:pPr>
        <w:pStyle w:val="Heading1"/>
      </w:pPr>
      <w:r>
        <w:t>5. Amdahl 非线性扩展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通用加速比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S(n) = 1 ÷ [s + (1 - s) ÷ n]</w:t>
      </w:r>
    </w:p>
    <w:p>
      <w:pPr>
        <w:spacing w:after="140"/>
        <w:ind w:left="360"/>
      </w:pPr>
      <w:r>
        <w:rPr>
          <w:rFonts w:ascii="Calibri" w:hAnsi="Calibri" w:eastAsia="Microsoft YaHei"/>
          <w:color w:val="667085"/>
          <w:sz w:val="20"/>
        </w:rPr>
        <w:t>n 为资源数量，s 为不可并行比例。s = 0 时恢复理想线性扩展；s 越大，增加资源的边际收益越低。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节点内加速比合计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Σ S（第 i 节点实际卡数, 节点内不可并行比例）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跨节点通信效率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S（单副本节点数, 跨节点不可并行比例）÷ 单副本节点数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无压测单副本吞吐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单卡理论吞吐 × 节点内加速比合计 × 跨节点通信效率 × 内核与服务效率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总吞吐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单副本吞吐 × 完整副本数 × 多副本调度效率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00"/>
        <w:gridCol w:w="1400"/>
        <w:gridCol w:w="1600"/>
        <w:gridCol w:w="28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模板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服务效率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卡内 s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节点间 s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定位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交互低并发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5%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15%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25%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保守敏感性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在线均衡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10%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10%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15%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默认规划值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吞吐优先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20%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5%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10%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优化场景参考</w:t>
            </w:r>
          </w:p>
        </w:tc>
      </w:tr>
    </w:tbl>
    <w:p>
      <w:pPr>
        <w:spacing w:after="0"/>
      </w:pPr>
    </w:p>
    <w:p>
      <w:r>
        <w:t>Amdahl 公式具有明确的并行计算理论依据；表中的百分比是工程规划先验，不是厂商官方倍率。</w:t>
      </w:r>
    </w:p>
    <w:p>
      <w:pPr>
        <w:pStyle w:val="Heading1"/>
      </w:pPr>
      <w:r>
        <w:t>6. 多机和完整副本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副本内部署：</w:t>
      </w:r>
      <w:r>
        <w:rPr>
          <w:rFonts w:ascii="Calibri" w:hAnsi="Calibri" w:eastAsia="Microsoft YaHei"/>
          <w:color w:val="1D2939"/>
          <w:sz w:val="22"/>
        </w:rPr>
        <w:t>多个节点共同承载一个无法单机放入的模型。单副本总卡数按节点容量自动装箱，例如 19 卡、3 个 8 卡节点为 8+8+3；单副本吞吐仍按非线性扩展或压测计算。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同步增加硬件（默认）：</w:t>
      </w:r>
      <w:r>
        <w:rPr>
          <w:rFonts w:ascii="Calibri" w:hAnsi="Calibri" w:eastAsia="Microsoft YaHei"/>
          <w:color w:val="1D2939"/>
          <w:sz w:val="22"/>
        </w:rPr>
        <w:t>每增加一个完整副本，就增加一套对应节点和卡。总节点数等于副本数乘单副本节点数，吞吐和月租同步扩展，最容易核对。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使用固定节点池：</w:t>
      </w:r>
      <w:r>
        <w:rPr>
          <w:rFonts w:ascii="Calibri" w:hAnsi="Calibri" w:eastAsia="Microsoft YaHei"/>
          <w:color w:val="1D2939"/>
          <w:sz w:val="22"/>
        </w:rPr>
        <w:t>系统用“固定池节点数 ÷ 单副本节点数”自动计算每组可运行副本数，再按副本需求向上取整计算资源组数。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高级：实测空卡共用：</w:t>
      </w:r>
      <w:r>
        <w:rPr>
          <w:rFonts w:ascii="Calibri" w:hAnsi="Calibri" w:eastAsia="Microsoft YaHei"/>
          <w:color w:val="1D2939"/>
          <w:sz w:val="22"/>
        </w:rPr>
        <w:t>只有同模型、精度、拓扑和运行时的部署或压测已确认整张空卡可安全共用时，才手工填写每组可运行副本数；超过该数量后增加下一组硬件。</w:t>
      </w:r>
    </w:p>
    <w:p>
      <w:pPr>
        <w:shd w:fill="FFF4E5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B54708"/>
          <w:sz w:val="22"/>
        </w:rPr>
        <w:t>空卡边界：</w:t>
      </w:r>
      <w:r>
        <w:rPr>
          <w:rFonts w:ascii="Calibri" w:hAnsi="Calibri" w:eastAsia="Microsoft YaHei"/>
          <w:color w:val="1D2939"/>
          <w:sz w:val="22"/>
        </w:rPr>
        <w:t>空卡是未分配给任何副本的整张卡；已分配卡上的剩余显存不能作为空卡。即使整卡数量足够，也必须验证具体卡位、互联域、进程隔离、显存与运行时开销和调度约束。</w:t>
      </w:r>
    </w:p>
    <w:p>
      <w:r>
        <w:t>TP/PP/EP、互联带宽、RDMA 和推理框架不直接代入一个固定吞吐公式，而是作为配置校验和压测指纹。其精确性能仍由实测确定。</w:t>
      </w:r>
    </w:p>
    <w:p>
      <w:pPr>
        <w:pStyle w:val="Heading1"/>
      </w:pPr>
      <w:r>
        <w:t>7. QPS 容量规划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对外输出需求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QPS × 平均输出 Token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无压测等效规划负载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QPS ×（输出 Token + 输入 Token × Prefill 等效系数）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无压测单副本规划能力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单卡理论吞吐 × 节点内加速比合计 × 跨节点通信效率 × 内核与业务规划系数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服务副本数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向上取整[规划负载 ÷（单副本能力 × 目标负载率 × 调度效率）]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付费副本数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服务副本数 + 冗余副本数</w:t>
      </w:r>
    </w:p>
    <w:p>
      <w:r>
        <w:t>若存在严格匹配压测，系统以实测输出 TPS 直接规划，不再重复附加 Prefill 等效负载；成本分母始终是实际输出 Token。</w:t>
      </w:r>
    </w:p>
    <w:p>
      <w:pPr>
        <w:pStyle w:val="Heading1"/>
      </w:pPr>
      <w:r>
        <w:t>8. 租金、成本与报价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同步增加硬件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总节点数 = 付费副本数 × 单副本节点数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固定节点池每组可运行副本数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向下取整[每组节点数 ÷ 单副本节点数]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固定节点池资源组数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向上取整[付费副本数 ÷ 每组可运行副本数]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高级实测空卡共用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手工回填实测值，且不得超过向下取整[每组节点数 × 单节点标准卡数 ÷ 单副本实际总卡数]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整节点计费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总月租 = 节点月租 × 每组节点数 × 资源组数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按卡计费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固定节点池：预留池卡数 × 单卡月租；同步增加硬件：单副本实际卡数 × 副本数 × 单卡月租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月输出 Token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实际输出 TPS × 运行天数 × 日均有效负载小时 × 3600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硬件成本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总月租 ÷ 月输出 Token × 1,000,000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建议报价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硬件成本 ÷（1 - 目标毛利率）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解释：</w:t>
      </w:r>
      <w:r>
        <w:rPr>
          <w:rFonts w:ascii="Calibri" w:hAnsi="Calibri" w:eastAsia="Microsoft YaHei"/>
          <w:color w:val="1D2939"/>
          <w:sz w:val="22"/>
        </w:rPr>
        <w:t>同步增加硬件时，资源和吞吐若同比例增长，单位 Token 成本近似不变。固定节点池按资源组阶梯计费；只有实测空卡共用确认后，才允许在每组实测容量内增加副本而月租不变。</w:t>
      </w:r>
    </w:p>
    <w:p>
      <w:pPr>
        <w:pStyle w:val="Heading1"/>
      </w:pPr>
      <w:r>
        <w:t>9. 配置校验与压测失配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规则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处理方式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单机实际卡数超过硬件规格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停用月租、成本和报价，提示最少节点数并要求切换多机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多机单副本卡数超过拓扑容量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停用成本和报价，要求增加单副本节点或减少卡数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固定池节点少于单副本节点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判定该节点池无法运行一个完整副本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每组实测可运行副本数为空或超过整卡容量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判定固定节点池无效，停用成本与报价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权重超过预留后可用显存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显示至少所需卡数/节点数，停用报价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TP × PP 超过单副本总卡数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判定拓扑无效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压测工作负载或拓扑不匹配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保留记录但不应用，回退工程估算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压测未满足已设置 P95 SLA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不应用该压测，回退工程估算</w:t>
            </w:r>
          </w:p>
        </w:tc>
      </w:tr>
    </w:tbl>
    <w:p>
      <w:pPr>
        <w:spacing w:after="0"/>
      </w:pPr>
    </w:p>
    <w:p>
      <w:pPr>
        <w:pStyle w:val="Heading1"/>
      </w:pPr>
      <w:r>
        <w:t>10. 示例：19 卡单副本与固定节点池</w:t>
      </w:r>
    </w:p>
    <w:p>
      <w:r>
        <w:t>以 626 TFLOPS/卡、40B 激活参数、8 卡/节点、在线均衡模板为例：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单卡理论上限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626 × 10¹² ÷（2 × 40 × 10⁹）= 7,825 token/s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卡分布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19 张卡跨 3 个 8 卡节点自动分布为 8 + 8 + 3；物理容量 24 张，空余 5 张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节点内加速比合计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S(8,10%) + S(8,10%) + S(3,10%) ≈ 4.71 + 4.71 + 2.50 = 11.91×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跨节点通信效率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S(3,15%) ÷ 3 ≈ 76.92%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单副本规划吞吐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7,825 × 11.91 × 76.92% × 10% ≈ 7,170 token/s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同步增加硬件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2 个副本 × 3 节点/副本 = 6 个付费节点；月租 55,000 × 6 = 330,000 元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5 节点固定池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向下取整[5 ÷ 3] = 每组 1 个副本；规划 2 个副本需 2 组、10 个付费节点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高级实测空卡共用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理论整卡容量为向下取整[40 ÷ 19] = 2；只有部署或压测验证可共用时，才可填写每组 2 个副本并按 5 个节点计费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验证后两副本总吞吐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7,170 × 2 × 95% ≈ 13,623 token/s；5 节点月租 275,000 元，硬件成本约 7.79 元/百万 Token</w:t>
      </w:r>
    </w:p>
    <w:p>
      <w:r>
        <w:t>该示例同时展示默认扩容、固定节点池和实测空卡共用三种结果。模型、精度、拓扑、框架、ISL/OSL 或并发变化后，应重新验证每组可运行副本数和单副本 TPS。</w:t>
      </w:r>
    </w:p>
    <w:p>
      <w:pPr>
        <w:pStyle w:val="Heading1"/>
      </w:pPr>
      <w:r>
        <w:t>11. 依据与边界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来源 1：Amdahl, Validity of the Single Processor Approach to Achieving Large Scale Computing Capabilities</w:t>
        <w:br/>
      </w:r>
      <w:r>
        <w:rPr>
          <w:rFonts w:ascii="Calibri" w:hAnsi="Calibri" w:eastAsia="Microsoft YaHei"/>
          <w:color w:val="2E74B5"/>
          <w:sz w:val="19"/>
        </w:rPr>
        <w:t>https://doi.org/10.1145/1465482.1465560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来源 2：Berkeley Roofline Model</w:t>
        <w:br/>
      </w:r>
      <w:r>
        <w:rPr>
          <w:rFonts w:ascii="Calibri" w:hAnsi="Calibri" w:eastAsia="Microsoft YaHei"/>
          <w:color w:val="2E74B5"/>
          <w:sz w:val="19"/>
        </w:rPr>
        <w:t>https://digicoll.lib.berkeley.edu/record/136692/files/EECS-2008-134.pdf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来源 3：NVIDIA NIM Benchmarking - Metrics</w:t>
        <w:br/>
      </w:r>
      <w:r>
        <w:rPr>
          <w:rFonts w:ascii="Calibri" w:hAnsi="Calibri" w:eastAsia="Microsoft YaHei"/>
          <w:color w:val="2E74B5"/>
          <w:sz w:val="19"/>
        </w:rPr>
        <w:t>https://docs.nvidia.com/nim/benchmarking/llm/latest/metrics.html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来源 4：NVIDIA NIM Benchmarking - Parameters</w:t>
        <w:br/>
      </w:r>
      <w:r>
        <w:rPr>
          <w:rFonts w:ascii="Calibri" w:hAnsi="Calibri" w:eastAsia="Microsoft YaHei"/>
          <w:color w:val="2E74B5"/>
          <w:sz w:val="19"/>
        </w:rPr>
        <w:t>https://docs.nvidia.com/nim/benchmarking/llm/latest/parameters.html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来源 5：vLLM - Parallelism and Scaling</w:t>
        <w:br/>
      </w:r>
      <w:r>
        <w:rPr>
          <w:rFonts w:ascii="Calibri" w:hAnsi="Calibri" w:eastAsia="Microsoft YaHei"/>
          <w:color w:val="2E74B5"/>
          <w:sz w:val="19"/>
        </w:rPr>
        <w:t>https://docs.vllm.ai/en/v0.22.0/serving/parallelism_scaling/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来源 6：vLLM - Bench Serve</w:t>
        <w:br/>
      </w:r>
      <w:r>
        <w:rPr>
          <w:rFonts w:ascii="Calibri" w:hAnsi="Calibri" w:eastAsia="Microsoft YaHei"/>
          <w:color w:val="2E74B5"/>
          <w:sz w:val="19"/>
        </w:rPr>
        <w:t>https://docs.vllm.ai/en/latest/cli/bench/serve/</w:t>
      </w:r>
    </w:p>
    <w:p>
      <w:pPr>
        <w:shd w:fill="FFF4E5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B54708"/>
          <w:sz w:val="22"/>
        </w:rPr>
        <w:t>适用边界：</w:t>
      </w:r>
      <w:r>
        <w:rPr>
          <w:rFonts w:ascii="Calibri" w:hAnsi="Calibri" w:eastAsia="Microsoft YaHei"/>
          <w:color w:val="1D2939"/>
          <w:sz w:val="22"/>
        </w:rPr>
        <w:t>正式上线容量、SLA 承诺和对外定价必须使用同硬件、同拓扑、同运行时、同 ISL/OSL 与并发条件下的压测结果，并补充非硬件成本。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紫东太初 · Token API 成本测算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Token API 成本测算工具 · 计算口径与更新报告</w:t>
    </w:r>
    <w:r>
      <w:rPr>
        <w:rFonts w:ascii="Calibri" w:hAnsi="Calibri" w:eastAsia="Microsoft YaHei"/>
        <w:color w:val="667085"/>
        <w:sz w:val="18"/>
      </w:rPr>
      <w:t xml:space="preserve">  | 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