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5F1D"/>
        </w:rPr>
        <w:t>EXEMPLE FICTIF — DONNÉES SYNTHÉTIQUES</w:t>
      </w:r>
    </w:p>
    <w:p>
      <w:pPr>
        <w:pStyle w:val="Title"/>
      </w:pPr>
      <w:r>
        <w:t>Cahier de présence des stagiaires</w:t>
      </w:r>
    </w:p>
    <w:p>
      <w:r>
        <w:rPr>
          <w:color w:val="566260"/>
          <w:sz w:val="24"/>
        </w:rPr>
        <w:t>Modèle de démonstration · Word modifiable et impression A4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44"/>
        <w:gridCol w:w="5244"/>
      </w:tblGrid>
      <w:tr>
        <w:tc>
          <w:tcPr>
            <w:tcW w:type="dxa" w:w="5244"/>
            <w:vAlign w:val="center"/>
            <w:shd w:fill="116B65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EFA"/>
                <w:sz w:val="18"/>
              </w:rPr>
              <w:t>Organisme</w:t>
            </w:r>
          </w:p>
        </w:tc>
        <w:tc>
          <w:tcPr>
            <w:tcW w:type="dxa" w:w="52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525"/>
                <w:sz w:val="18"/>
              </w:rPr>
              <w:t>Institut Horizon — fictif</w:t>
            </w:r>
          </w:p>
        </w:tc>
      </w:tr>
      <w:tr>
        <w:tc>
          <w:tcPr>
            <w:tcW w:type="dxa" w:w="5244"/>
            <w:vAlign w:val="center"/>
            <w:shd w:fill="116B65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EFA"/>
                <w:sz w:val="18"/>
              </w:rPr>
              <w:t>Action de formation</w:t>
            </w:r>
          </w:p>
        </w:tc>
        <w:tc>
          <w:tcPr>
            <w:tcW w:type="dxa" w:w="52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525"/>
                <w:sz w:val="18"/>
              </w:rPr>
              <w:t>Relation client B2B — exemple</w:t>
            </w:r>
          </w:p>
        </w:tc>
      </w:tr>
      <w:tr>
        <w:tc>
          <w:tcPr>
            <w:tcW w:type="dxa" w:w="5244"/>
            <w:vAlign w:val="center"/>
            <w:shd w:fill="116B65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EFA"/>
                <w:sz w:val="18"/>
              </w:rPr>
              <w:t>Période</w:t>
            </w:r>
          </w:p>
        </w:tc>
        <w:tc>
          <w:tcPr>
            <w:tcW w:type="dxa" w:w="52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525"/>
                <w:sz w:val="18"/>
              </w:rPr>
              <w:t>Septembre 2026</w:t>
            </w:r>
          </w:p>
        </w:tc>
      </w:tr>
      <w:tr>
        <w:tc>
          <w:tcPr>
            <w:tcW w:type="dxa" w:w="5244"/>
            <w:vAlign w:val="center"/>
            <w:shd w:fill="116B65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EFA"/>
                <w:sz w:val="18"/>
              </w:rPr>
              <w:t>Référent</w:t>
            </w:r>
          </w:p>
        </w:tc>
        <w:tc>
          <w:tcPr>
            <w:tcW w:type="dxa" w:w="52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525"/>
                <w:sz w:val="18"/>
              </w:rPr>
              <w:t>Référent pédagogique — exemple</w:t>
            </w:r>
          </w:p>
        </w:tc>
      </w:tr>
    </w:tbl>
    <w:p>
      <w:pPr>
        <w:pStyle w:val="Heading1"/>
      </w:pPr>
      <w:r>
        <w:t>Mode d’emploi</w:t>
      </w:r>
    </w:p>
    <w:p>
      <w:pPr>
        <w:pStyle w:val="ListNumber"/>
      </w:pPr>
      <w:r>
        <w:t>Renseigner uniquement les champs validés par l’organisme.</w:t>
      </w:r>
    </w:p>
    <w:p>
      <w:pPr>
        <w:pStyle w:val="ListNumber"/>
      </w:pPr>
      <w:r>
        <w:t>Consigner les horaires observés et un statut factuel.</w:t>
      </w:r>
    </w:p>
    <w:p>
      <w:pPr>
        <w:pStyle w:val="ListNumber"/>
      </w:pPr>
      <w:r>
        <w:t>Faire viser selon la procédure interne ; le modèle n’invente aucune règle RH.</w:t>
      </w:r>
    </w:p>
    <w:p>
      <w:pPr>
        <w:pStyle w:val="ListNumber"/>
      </w:pPr>
      <w:r>
        <w:t>Reporter les totaux dans la synthèse mensuelle après contrôle.</w:t>
      </w:r>
    </w:p>
    <w:p>
      <w:r>
        <w:rPr>
          <w:b/>
          <w:color w:val="B45F1D"/>
        </w:rPr>
        <w:t>Ce fichier démontre une structure et une finition. Il ne constitue ni un registre réel, ni un conseil RH, ni une preuve de présence.</w:t>
      </w:r>
    </w:p>
    <w:p>
      <w:r>
        <w:br w:type="page"/>
      </w:r>
    </w:p>
    <w:p>
      <w:pPr>
        <w:pStyle w:val="Title"/>
      </w:pPr>
      <w:r>
        <w:t>Suivi journalier · semaine exemple</w:t>
      </w:r>
    </w:p>
    <w:p>
      <w:r>
        <w:rPr>
          <w:b/>
          <w:color w:val="B45F1D"/>
        </w:rPr>
        <w:t>EXEMPLE FICTIF — quatre stagiaires synthétiques · semaine du 7 au 11 septembre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5"/>
        <w:gridCol w:w="1165"/>
        <w:gridCol w:w="1165"/>
        <w:gridCol w:w="1165"/>
        <w:gridCol w:w="1165"/>
        <w:gridCol w:w="1165"/>
        <w:gridCol w:w="1165"/>
        <w:gridCol w:w="1165"/>
        <w:gridCol w:w="1165"/>
      </w:tblGrid>
      <w:tr>
        <w:tc>
          <w:tcPr>
            <w:tcW w:type="dxa" w:w="1165"/>
            <w:vAlign w:val="center"/>
            <w:shd w:fill="116B6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EFA"/>
                <w:sz w:val="14"/>
              </w:rPr>
              <w:t>ID</w:t>
            </w:r>
          </w:p>
        </w:tc>
        <w:tc>
          <w:tcPr>
            <w:tcW w:type="dxa" w:w="1165"/>
            <w:vAlign w:val="center"/>
            <w:shd w:fill="116B6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EFA"/>
                <w:sz w:val="14"/>
              </w:rPr>
              <w:t>Stagiaire fictif</w:t>
            </w:r>
          </w:p>
        </w:tc>
        <w:tc>
          <w:tcPr>
            <w:tcW w:type="dxa" w:w="1165"/>
            <w:vAlign w:val="center"/>
            <w:shd w:fill="116B6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EFA"/>
                <w:sz w:val="14"/>
              </w:rPr>
              <w:t>Date</w:t>
            </w:r>
          </w:p>
        </w:tc>
        <w:tc>
          <w:tcPr>
            <w:tcW w:type="dxa" w:w="1165"/>
            <w:vAlign w:val="center"/>
            <w:shd w:fill="116B6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EFA"/>
                <w:sz w:val="14"/>
              </w:rPr>
              <w:t>Prévu</w:t>
            </w:r>
          </w:p>
        </w:tc>
        <w:tc>
          <w:tcPr>
            <w:tcW w:type="dxa" w:w="1165"/>
            <w:vAlign w:val="center"/>
            <w:shd w:fill="116B6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EFA"/>
                <w:sz w:val="14"/>
              </w:rPr>
              <w:t>Arrivée</w:t>
            </w:r>
          </w:p>
        </w:tc>
        <w:tc>
          <w:tcPr>
            <w:tcW w:type="dxa" w:w="1165"/>
            <w:vAlign w:val="center"/>
            <w:shd w:fill="116B6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EFA"/>
                <w:sz w:val="14"/>
              </w:rPr>
              <w:t>Départ</w:t>
            </w:r>
          </w:p>
        </w:tc>
        <w:tc>
          <w:tcPr>
            <w:tcW w:type="dxa" w:w="1165"/>
            <w:vAlign w:val="center"/>
            <w:shd w:fill="116B6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EFA"/>
                <w:sz w:val="14"/>
              </w:rPr>
              <w:t>Pause</w:t>
            </w:r>
          </w:p>
        </w:tc>
        <w:tc>
          <w:tcPr>
            <w:tcW w:type="dxa" w:w="1165"/>
            <w:vAlign w:val="center"/>
            <w:shd w:fill="116B6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EFA"/>
                <w:sz w:val="14"/>
              </w:rPr>
              <w:t>Statut</w:t>
            </w:r>
          </w:p>
        </w:tc>
        <w:tc>
          <w:tcPr>
            <w:tcW w:type="dxa" w:w="1165"/>
            <w:vAlign w:val="center"/>
            <w:shd w:fill="116B6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EFA"/>
                <w:sz w:val="14"/>
              </w:rPr>
              <w:t>Visa</w:t>
            </w:r>
          </w:p>
        </w:tc>
      </w:tr>
      <w:tr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STA-001</w:t>
            </w:r>
          </w:p>
        </w:tc>
        <w:tc>
          <w:tcPr>
            <w:tcW w:type="dxa" w:w="116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Camille Martin</w:t>
            </w:r>
          </w:p>
        </w:tc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07/09</w:t>
            </w:r>
          </w:p>
        </w:tc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09:00</w:t>
            </w:r>
          </w:p>
        </w:tc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08:57</w:t>
            </w:r>
          </w:p>
        </w:tc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17:02</w:t>
            </w:r>
          </w:p>
        </w:tc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1 h</w:t>
            </w:r>
          </w:p>
        </w:tc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Présent</w:t>
            </w:r>
          </w:p>
        </w:tc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CM</w:t>
            </w:r>
          </w:p>
        </w:tc>
      </w:tr>
      <w:tr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STA-002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Nora Petit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07/09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09:00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09:12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17:00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1 h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Retard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NP</w:t>
            </w:r>
          </w:p>
        </w:tc>
      </w:tr>
      <w:tr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STA-003</w:t>
            </w:r>
          </w:p>
        </w:tc>
        <w:tc>
          <w:tcPr>
            <w:tcW w:type="dxa" w:w="116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Lucas Bernard</w:t>
            </w:r>
          </w:p>
        </w:tc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07/09</w:t>
            </w:r>
          </w:p>
        </w:tc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09:00</w:t>
            </w:r>
          </w:p>
        </w:tc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—</w:t>
            </w:r>
          </w:p>
        </w:tc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—</w:t>
            </w:r>
          </w:p>
        </w:tc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—</w:t>
            </w:r>
          </w:p>
        </w:tc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Absent</w:t>
            </w:r>
          </w:p>
        </w:tc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LB</w:t>
            </w:r>
          </w:p>
        </w:tc>
      </w:tr>
      <w:tr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STA-004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Inès Robert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07/09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09:00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09:01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17:04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1 h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Présent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IR</w:t>
            </w:r>
          </w:p>
        </w:tc>
      </w:tr>
      <w:tr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STA-001</w:t>
            </w:r>
          </w:p>
        </w:tc>
        <w:tc>
          <w:tcPr>
            <w:tcW w:type="dxa" w:w="116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Camille Martin</w:t>
            </w:r>
          </w:p>
        </w:tc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08/09</w:t>
            </w:r>
          </w:p>
        </w:tc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09:00</w:t>
            </w:r>
          </w:p>
        </w:tc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08:59</w:t>
            </w:r>
          </w:p>
        </w:tc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17:01</w:t>
            </w:r>
          </w:p>
        </w:tc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1 h</w:t>
            </w:r>
          </w:p>
        </w:tc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Présent</w:t>
            </w:r>
          </w:p>
        </w:tc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CM</w:t>
            </w:r>
          </w:p>
        </w:tc>
      </w:tr>
      <w:tr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STA-002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Nora Petit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08/09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09:00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08:56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16:58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1 h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Présent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NP</w:t>
            </w:r>
          </w:p>
        </w:tc>
      </w:tr>
      <w:tr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STA-003</w:t>
            </w:r>
          </w:p>
        </w:tc>
        <w:tc>
          <w:tcPr>
            <w:tcW w:type="dxa" w:w="116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Lucas Bernard</w:t>
            </w:r>
          </w:p>
        </w:tc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08/09</w:t>
            </w:r>
          </w:p>
        </w:tc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09:00</w:t>
            </w:r>
          </w:p>
        </w:tc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09:03</w:t>
            </w:r>
          </w:p>
        </w:tc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17:00</w:t>
            </w:r>
          </w:p>
        </w:tc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1 h</w:t>
            </w:r>
          </w:p>
        </w:tc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Présent</w:t>
            </w:r>
          </w:p>
        </w:tc>
        <w:tc>
          <w:tcPr>
            <w:tcW w:type="dxa" w:w="116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LB</w:t>
            </w:r>
          </w:p>
        </w:tc>
      </w:tr>
      <w:tr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STA-004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Inès Robert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08/09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09:00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09:00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17:02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1 h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Présent</w:t>
            </w:r>
          </w:p>
        </w:tc>
        <w:tc>
          <w:tcPr>
            <w:tcW w:type="dxa" w:w="1165"/>
            <w:vAlign w:val="center"/>
            <w:shd w:fill="EEF4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IR</w:t>
            </w:r>
          </w:p>
        </w:tc>
      </w:tr>
    </w:tbl>
    <w:p>
      <w:r>
        <w:t>Observation factuelle exemple : STA-002 — arrivée enregistrée à 09:12 le 07/09. Toute action suit la procédure interne de l’organisme.</w:t>
      </w:r>
    </w:p>
    <w:p>
      <w:r>
        <w:br w:type="page"/>
      </w:r>
    </w:p>
    <w:p>
      <w:pPr>
        <w:pStyle w:val="Title"/>
      </w:pPr>
      <w:r>
        <w:t>Synthèse mensuelle · septembre 2026</w:t>
      </w:r>
    </w:p>
    <w:p>
      <w:r>
        <w:rPr>
          <w:b/>
          <w:color w:val="B45F1D"/>
        </w:rPr>
        <w:t>EXEMPLE FICTIF — totaux de démonstration, sans valeur RH ou contractuelle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1"/>
        <w:gridCol w:w="1311"/>
        <w:gridCol w:w="1311"/>
        <w:gridCol w:w="1311"/>
        <w:gridCol w:w="1311"/>
        <w:gridCol w:w="1311"/>
        <w:gridCol w:w="1311"/>
        <w:gridCol w:w="1311"/>
      </w:tblGrid>
      <w:tr>
        <w:tc>
          <w:tcPr>
            <w:tcW w:type="dxa" w:w="1311"/>
            <w:vAlign w:val="center"/>
            <w:shd w:fill="116B6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EFA"/>
                <w:sz w:val="14"/>
              </w:rPr>
              <w:t>ID</w:t>
            </w:r>
          </w:p>
        </w:tc>
        <w:tc>
          <w:tcPr>
            <w:tcW w:type="dxa" w:w="1311"/>
            <w:vAlign w:val="center"/>
            <w:shd w:fill="116B6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EFA"/>
                <w:sz w:val="14"/>
              </w:rPr>
              <w:t>Stagiaire fictif</w:t>
            </w:r>
          </w:p>
        </w:tc>
        <w:tc>
          <w:tcPr>
            <w:tcW w:type="dxa" w:w="1311"/>
            <w:vAlign w:val="center"/>
            <w:shd w:fill="116B6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EFA"/>
                <w:sz w:val="14"/>
              </w:rPr>
              <w:t>Jours prévus</w:t>
            </w:r>
          </w:p>
        </w:tc>
        <w:tc>
          <w:tcPr>
            <w:tcW w:type="dxa" w:w="1311"/>
            <w:vAlign w:val="center"/>
            <w:shd w:fill="116B6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EFA"/>
                <w:sz w:val="14"/>
              </w:rPr>
              <w:t>Présences</w:t>
            </w:r>
          </w:p>
        </w:tc>
        <w:tc>
          <w:tcPr>
            <w:tcW w:type="dxa" w:w="1311"/>
            <w:vAlign w:val="center"/>
            <w:shd w:fill="116B6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EFA"/>
                <w:sz w:val="14"/>
              </w:rPr>
              <w:t>Retards</w:t>
            </w:r>
          </w:p>
        </w:tc>
        <w:tc>
          <w:tcPr>
            <w:tcW w:type="dxa" w:w="1311"/>
            <w:vAlign w:val="center"/>
            <w:shd w:fill="116B6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EFA"/>
                <w:sz w:val="14"/>
              </w:rPr>
              <w:t>Absences</w:t>
            </w:r>
          </w:p>
        </w:tc>
        <w:tc>
          <w:tcPr>
            <w:tcW w:type="dxa" w:w="1311"/>
            <w:vAlign w:val="center"/>
            <w:shd w:fill="116B6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EFA"/>
                <w:sz w:val="14"/>
              </w:rPr>
              <w:t>Taux indicatif</w:t>
            </w:r>
          </w:p>
        </w:tc>
        <w:tc>
          <w:tcPr>
            <w:tcW w:type="dxa" w:w="1311"/>
            <w:vAlign w:val="center"/>
            <w:shd w:fill="116B6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EFA"/>
                <w:sz w:val="14"/>
              </w:rPr>
              <w:t>Statut contrôle</w:t>
            </w:r>
          </w:p>
        </w:tc>
      </w:tr>
      <w:tr>
        <w:tc>
          <w:tcPr>
            <w:tcW w:type="dxa" w:w="131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STA-001</w:t>
            </w:r>
          </w:p>
        </w:tc>
        <w:tc>
          <w:tcPr>
            <w:tcW w:type="dxa" w:w="131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Camille Martin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20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20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0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0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100 %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Contrôlé</w:t>
            </w:r>
          </w:p>
        </w:tc>
      </w:tr>
      <w:tr>
        <w:tc>
          <w:tcPr>
            <w:tcW w:type="dxa" w:w="131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STA-002</w:t>
            </w:r>
          </w:p>
        </w:tc>
        <w:tc>
          <w:tcPr>
            <w:tcW w:type="dxa" w:w="131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Nora Petit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20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19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1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0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95 %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À vérifier</w:t>
            </w:r>
          </w:p>
        </w:tc>
      </w:tr>
      <w:tr>
        <w:tc>
          <w:tcPr>
            <w:tcW w:type="dxa" w:w="131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STA-003</w:t>
            </w:r>
          </w:p>
        </w:tc>
        <w:tc>
          <w:tcPr>
            <w:tcW w:type="dxa" w:w="131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Lucas Bernard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20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18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0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2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90 %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Justificatif interne</w:t>
            </w:r>
          </w:p>
        </w:tc>
      </w:tr>
      <w:tr>
        <w:tc>
          <w:tcPr>
            <w:tcW w:type="dxa" w:w="131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STA-004</w:t>
            </w:r>
          </w:p>
        </w:tc>
        <w:tc>
          <w:tcPr>
            <w:tcW w:type="dxa" w:w="131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Inès Robert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20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20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0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0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100 %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B2525"/>
                <w:sz w:val="14"/>
              </w:rPr>
              <w:t>Contrôlé</w:t>
            </w:r>
          </w:p>
        </w:tc>
      </w:tr>
    </w:tbl>
    <w:p>
      <w:pPr>
        <w:pStyle w:val="Heading1"/>
      </w:pPr>
      <w:r>
        <w:t>Contrôle avant archivage</w:t>
      </w:r>
    </w:p>
    <w:p>
      <w:r>
        <w:t>☐ Totaux rapprochés avec les feuilles journalières</w:t>
      </w:r>
    </w:p>
    <w:p>
      <w:r>
        <w:t>☐ Écarts signalés sans commentaire subjectif</w:t>
      </w:r>
    </w:p>
    <w:p>
      <w:r>
        <w:t>☐ Visa réalisé selon la procédure interne</w:t>
      </w:r>
    </w:p>
    <w:p>
      <w:r>
        <w:t>☐ Durée de conservation validée par l’organisme</w:t>
      </w:r>
    </w:p>
    <w:sectPr w:rsidR="00FC693F" w:rsidRPr="0006063C" w:rsidSect="00034616">
      <w:footerReference w:type="default" r:id="rId9"/>
      <w:pgSz w:w="11906" w:h="16838"/>
      <w:pgMar w:top="709" w:right="709" w:bottom="68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B45F1D"/>
        <w:sz w:val="16"/>
      </w:rPr>
      <w:t>EXEMPLE FICTIF · DONNÉES SYNTHÉTIQUES · ATLAS NEXUS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B252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6B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6B6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