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4"/>
          <w:szCs w:val="34"/>
          <w:shd w:val="clear" w:fill="FFFFFF"/>
        </w:rPr>
      </w:pPr>
      <w:r>
        <w:rPr>
          <w:rFonts w:hint="eastAsia"/>
          <w:lang w:val="en-US" w:eastAsia="zh-CN"/>
        </w:rPr>
        <w:t>Atiitt 支付系统安全标准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4"/>
          <w:szCs w:val="34"/>
          <w:shd w:val="clear" w:fill="FFFFFF"/>
        </w:rPr>
        <w:t>PCI DSS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4"/>
          <w:szCs w:val="3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1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3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34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34"/>
              <w:szCs w:val="3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34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instrText xml:space="preserve"> HYPERLINK \l _Toc13614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-10"/>
              <w:szCs w:val="36"/>
            </w:rPr>
            <w:t xml:space="preserve">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-10"/>
              <w:szCs w:val="36"/>
              <w:shd w:val="clear" w:fill="FFFFFF"/>
            </w:rPr>
            <w:t>PCI 数据安全标准</w:t>
          </w:r>
          <w:r>
            <w:tab/>
          </w:r>
          <w:r>
            <w:fldChar w:fldCharType="begin"/>
          </w:r>
          <w:r>
            <w:instrText xml:space="preserve"> PAGEREF _Toc13614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instrText xml:space="preserve"> HYPERLINK \l _Toc13050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</w:rPr>
            <w:t xml:space="preserve">1.1.1.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</w:rPr>
            <w:t>6 个目标，12 项要求</w:t>
          </w:r>
          <w:r>
            <w:tab/>
          </w:r>
          <w:r>
            <w:fldChar w:fldCharType="begin"/>
          </w:r>
          <w:r>
            <w:instrText xml:space="preserve"> PAGEREF _Toc13050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instrText xml:space="preserve"> HYPERLINK \l _Toc11713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</w:rPr>
            <w:t xml:space="preserve">1.1.2.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</w:rPr>
            <w:t>支付应用数据安全标准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PA-DSS</w:t>
          </w:r>
          <w:r>
            <w:tab/>
          </w:r>
          <w:r>
            <w:fldChar w:fldCharType="begin"/>
          </w:r>
          <w:r>
            <w:instrText xml:space="preserve"> PAGEREF _Toc11713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instrText xml:space="preserve"> HYPERLINK \l _Toc3670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</w:rPr>
            <w:t xml:space="preserve">1.1.3.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</w:rPr>
            <w:t>数据安全标准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DSS</w:t>
          </w:r>
          <w:r>
            <w:tab/>
          </w:r>
          <w:r>
            <w:fldChar w:fldCharType="begin"/>
          </w:r>
          <w:r>
            <w:instrText xml:space="preserve"> PAGEREF _Toc3670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instrText xml:space="preserve"> HYPERLINK \l _Toc12680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ADSS（银联卡收单机构账户信息安全管理标准）</w:t>
          </w:r>
          <w:r>
            <w:tab/>
          </w:r>
          <w:r>
            <w:fldChar w:fldCharType="begin"/>
          </w:r>
          <w:r>
            <w:instrText xml:space="preserve"> PAGEREF _Toc12680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instrText xml:space="preserve"> HYPERLINK \l _Toc4622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2.1.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要内容</w:t>
          </w:r>
          <w:r>
            <w:tab/>
          </w:r>
          <w:r>
            <w:fldChar w:fldCharType="begin"/>
          </w:r>
          <w:r>
            <w:instrText xml:space="preserve"> PAGEREF _Toc4622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34"/>
              <w:szCs w:val="34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34"/>
              <w:shd w:val="clear" w:fill="FFFFFF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全称Payment Card Industry (PCI) Data Security Standard,第三方支付行业(支付卡行业PCI DSS)数据安全标准，是由PCI安全标准委员会的创始成员(visa、mastercard、American Express、Discover Financial Services、JCB等)制定，立在使国际上采用一致的数据安全措施，简称PCI DSS。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PCI DSS对于所有涉及信用卡信息机构的安全方面作出标准的要求，其中包括安全管理、策略、过程、网络体系结构、软件设计的要求的列表等，全面保障交易安全。PCI DSS适用于所有涉及支付卡处理的实体，包括商户、处理机构、购买者、发行商和服务提供商及储存、处理或传输持卡人资料的所有其他实体。PCI DSS包括一组保护持卡人信息的基本要求，并可能增加额外的管控措施，以进一步降低风险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保护持卡人信息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3、保护存储的持卡人资料。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4、加密通过开放的公用网络传输的持卡人资料。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维护漏洞管理程序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5、使用并定期更新杀毒软件或程序。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6、开发并维护安全系统和应用程序。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实施严格的存储控制措施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7、限制为只有业务需要的人才能存取持卡人资料。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8、为具有电脑存取权的每个人指定唯一的ID。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9、限制对持卡人资料的实际存储。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定期监控并测试网络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10、追踪并监控对网络资源及持卡人资料的所有存取。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11、定期测试安全系统和程序。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维护信息安全政策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12、维护满足所有人员信息安全需求的政策。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110" w:afterAutospacing="0" w:line="10" w:lineRule="atLeast"/>
        <w:ind w:firstLine="0"/>
        <w:rPr>
          <w:rFonts w:ascii="sans-serif" w:hAnsi="sans-serif" w:eastAsia="sans-serif" w:cs="sans-serif"/>
          <w:i w:val="0"/>
          <w:caps w:val="0"/>
          <w:color w:val="333333"/>
          <w:spacing w:val="-10"/>
          <w:sz w:val="36"/>
          <w:szCs w:val="36"/>
        </w:rPr>
      </w:pPr>
      <w:bookmarkStart w:id="0" w:name="_Toc13614"/>
      <w:r>
        <w:rPr>
          <w:rFonts w:hint="default" w:ascii="sans-serif" w:hAnsi="sans-serif" w:eastAsia="sans-serif" w:cs="sans-serif"/>
          <w:i w:val="0"/>
          <w:caps w:val="0"/>
          <w:color w:val="333333"/>
          <w:spacing w:val="-10"/>
          <w:sz w:val="36"/>
          <w:szCs w:val="36"/>
          <w:shd w:val="clear" w:fill="FFFFFF"/>
        </w:rPr>
        <w:t>PCI 数据安全标准</w:t>
      </w:r>
      <w:bookmarkEnd w:id="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PCI DSS 有超过 250 条子要求，总体分为 6 个目标和 12 项主要求。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0" w:beforeAutospacing="0" w:after="110" w:afterAutospacing="0" w:line="13" w:lineRule="atLeast"/>
        <w:ind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bookmarkStart w:id="1" w:name="_Toc13050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6 个目标，12 项要求</w:t>
      </w:r>
      <w:bookmarkEnd w:id="1"/>
    </w:p>
    <w:tbl>
      <w:tblPr>
        <w:tblW w:w="7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7"/>
        <w:gridCol w:w="5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目标</w:t>
            </w:r>
          </w:p>
        </w:tc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PCI DSS 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建立并维护安全网络 </w:t>
            </w:r>
          </w:p>
        </w:tc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1：安装并维护防火墙配置，保护持卡人数据 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2：不得将供应商提供的默认值作为系统密码和其他安全参数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保护持卡人数据</w:t>
            </w:r>
          </w:p>
        </w:tc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3：保护所储存的持卡人数据 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4：对持卡人数据在公共开放网络之间的传输进行加密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维护漏洞管理程序</w:t>
            </w:r>
          </w:p>
        </w:tc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5：使用杀毒软件并定期更新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6： 建立并维护安全系统和应用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采取强大的访问控制措施</w:t>
            </w:r>
          </w:p>
        </w:tc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7：根据业务须知限制获取持卡人数据的权限 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8：为每个有电脑访问权限的用户分配唯一的 ID 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9：限制对持卡人数据的物理访问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定期监控和测试网络</w:t>
            </w:r>
          </w:p>
        </w:tc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10：跟踪并监控对网络资源和持卡人数据的所有访问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11：定期测试安全系统和流程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维护信息安全政策</w:t>
            </w:r>
          </w:p>
        </w:tc>
        <w:tc>
          <w:tcPr>
            <w:tcW w:w="0" w:type="auto"/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110" w:afterAutospacing="0" w:line="14" w:lineRule="atLeast"/>
              <w:ind w:left="0" w:right="0"/>
            </w:pPr>
            <w:r>
              <w:rPr>
                <w:color w:val="000000"/>
              </w:rPr>
              <w:t>12：维护信息安全政策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20" w:beforeAutospacing="0" w:after="110" w:afterAutospacing="0" w:line="13" w:lineRule="atLeast"/>
        <w:ind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bookmarkStart w:id="2" w:name="_Toc11713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支付应用数据安全标准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PA-DSS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软件开发者和支付应用整合者会对持卡人数据进行存储、处理，在向第三方出售、分销或提供特许应用时的结算和授权过程也会传输持卡人数据。支付应用数据安全标准（PA-DSS）正是针对以上情形而制定。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PA-DSS 要求第三方支付应用的供应商采取合适的安全控制措施，以保护持卡人数据。支付应用数据安全标准（PA-DSS）中有许多控制措施专门用于处理导致信用卡数据丢失的常见漏洞。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0" w:beforeAutospacing="0" w:after="110" w:afterAutospacing="0" w:line="13" w:lineRule="atLeast"/>
        <w:ind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bookmarkStart w:id="3" w:name="_Toc3670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数据安全标准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DSS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4" w:name="_Toc12680"/>
      <w:r>
        <w:t>ADSS（银联卡收单机构账户信息安全管理标准）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90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"https://baike.baidu.com/item/ADSS/javascript:;"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"https://baike.baidu.com/planet/talk?lemmaId=13238077" \t "https://baike.baidu.com/item/ADSS/_blank"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00" w:beforeAutospacing="0" w:after="100" w:afterAutospacing="0" w:line="37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17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9F9F9"/>
          <w:lang w:val="en-US" w:eastAsia="zh-CN" w:bidi="ar"/>
        </w:rPr>
        <w:t>概述图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2"/>
          <w:szCs w:val="12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全称Account Data Security Standard ，即银联卡收单机构账户信息安全管理标准，由中国银联风险管理委员会审核通过，旨在加强银联卡收单网络账户信息安全管理，进一步明确和细化对收单业务各参与方账户信息安全管理要求，防范账户信息泄漏风险，简称ADS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5" w:name="_Toc4622"/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要内容</w:t>
      </w:r>
      <w:bookmarkEnd w:id="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"https://baike.baidu.com/item/ADSS/javascript:;"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1、总则：标准目的、适用范围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2、基本要求：相关机构对于银行卡信息和持卡人资料的使用、存储的保护要求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3、政策制定：要求相关构按本标准建立账户信息安全管理体系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4、组织管理：要求相关机构设立相关岗位、明确岗位职责、细化人员管理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5、访问控制：对权限管理、身份验证、账户密码管理、系统登录控制、远程访问控制、无线和移动网络访问控制、用户配置文件管理、日志管理、物理访问控制的要求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6、账户信息生命周期安全管理：对账户信息加密、秘钥管理、账户信息的传输、使用、存储与备份，以及账户信息的销毁的要求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7、系统及网络安全管理：对网络及防火墙管理、设备安全管理、防病毒管理、系统补丁管理、系统安全检查、安全开发流程、变更管理、Web安全管理、安全配置管理的要求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8、银联卡受理终端及支付应用软件安全管理：对各类受理终端、支付应用软件及其插件的安全要求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万事达卡PCI数据安全标准（DSS）的合规性.html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9A935"/>
    <w:multiLevelType w:val="multilevel"/>
    <w:tmpl w:val="E589A9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977D7"/>
    <w:rsid w:val="1F333747"/>
    <w:rsid w:val="22FE7D19"/>
    <w:rsid w:val="25870862"/>
    <w:rsid w:val="363C2D0C"/>
    <w:rsid w:val="38F514B4"/>
    <w:rsid w:val="55B96C1F"/>
    <w:rsid w:val="5A4977D7"/>
    <w:rsid w:val="5BFC2D48"/>
    <w:rsid w:val="5DBC1BFA"/>
    <w:rsid w:val="74E4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2020-01-02T16:13:00Z</dcterms:created>
  <dc:creator>ATI老哇的爪子007</dc:creator>
  <cp:lastModifiedBy>ATI老哇的爪子007</cp:lastModifiedBy>
  <dcterms:modified xsi:type="dcterms:W3CDTF">2020-01-02T16:23:47Z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