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菲律宾的优点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7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6" w:name="_GoBack"/>
          <w:bookmarkEnd w:id="3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民主</w:t>
          </w:r>
          <w:r>
            <w:tab/>
          </w:r>
          <w:r>
            <w:fldChar w:fldCharType="begin"/>
          </w:r>
          <w:r>
            <w:instrText xml:space="preserve"> PAGEREF _Toc4999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多党制</w:t>
          </w:r>
          <w:r>
            <w:tab/>
          </w:r>
          <w:r>
            <w:fldChar w:fldCharType="begin"/>
          </w:r>
          <w:r>
            <w:instrText xml:space="preserve"> PAGEREF _Toc20453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</w:t>
          </w:r>
          <w:r>
            <w:tab/>
          </w:r>
          <w:r>
            <w:fldChar w:fldCharType="begin"/>
          </w:r>
          <w:r>
            <w:instrText xml:space="preserve"> PAGEREF _Toc29272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集会</w:t>
          </w:r>
          <w:r>
            <w:rPr>
              <w:rFonts w:hint="eastAsia"/>
              <w:lang w:val="en-US" w:eastAsia="zh-CN"/>
            </w:rPr>
            <w:t>自由</w:t>
          </w:r>
          <w:r>
            <w:tab/>
          </w:r>
          <w:r>
            <w:fldChar w:fldCharType="begin"/>
          </w:r>
          <w:r>
            <w:instrText xml:space="preserve"> PAGEREF _Toc9417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互联网信息自由</w:t>
          </w:r>
          <w:r>
            <w:tab/>
          </w:r>
          <w:r>
            <w:fldChar w:fldCharType="begin"/>
          </w:r>
          <w:r>
            <w:instrText xml:space="preserve"> PAGEREF _Toc7885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言论自由</w:t>
          </w:r>
          <w:r>
            <w:tab/>
          </w:r>
          <w:r>
            <w:fldChar w:fldCharType="begin"/>
          </w:r>
          <w:r>
            <w:instrText xml:space="preserve"> PAGEREF _Toc8362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新闻自由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公民自由</w:t>
          </w:r>
          <w:r>
            <w:tab/>
          </w:r>
          <w:r>
            <w:fldChar w:fldCharType="begin"/>
          </w:r>
          <w:r>
            <w:instrText xml:space="preserve"> PAGEREF _Toc22759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迁徙自由 没有户籍制度</w:t>
          </w:r>
          <w:r>
            <w:tab/>
          </w:r>
          <w:r>
            <w:fldChar w:fldCharType="begin"/>
          </w:r>
          <w:r>
            <w:instrText xml:space="preserve"> PAGEREF _Toc130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护照含金量  东南亚比较不错</w:t>
          </w:r>
          <w:r>
            <w:tab/>
          </w:r>
          <w:r>
            <w:fldChar w:fldCharType="begin"/>
          </w:r>
          <w:r>
            <w:instrText xml:space="preserve"> PAGEREF _Toc28063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约炮自由 红灯区多</w:t>
          </w:r>
          <w:r>
            <w:tab/>
          </w:r>
          <w:r>
            <w:fldChar w:fldCharType="begin"/>
          </w:r>
          <w:r>
            <w:instrText xml:space="preserve"> PAGEREF _Toc7594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赌场多</w:t>
          </w:r>
          <w:r>
            <w:tab/>
          </w:r>
          <w:r>
            <w:fldChar w:fldCharType="begin"/>
          </w:r>
          <w:r>
            <w:instrText xml:space="preserve"> PAGEREF _Toc32209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衣食住行  食品多样披萨</w:t>
          </w:r>
          <w:r>
            <w:tab/>
          </w:r>
          <w:r>
            <w:fldChar w:fldCharType="begin"/>
          </w:r>
          <w:r>
            <w:instrText xml:space="preserve"> PAGEREF _Toc18741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环境方面的比较</w:t>
          </w:r>
          <w:r>
            <w:tab/>
          </w:r>
          <w:r>
            <w:fldChar w:fldCharType="begin"/>
          </w:r>
          <w:r>
            <w:instrText xml:space="preserve"> PAGEREF _Toc11629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_Toc20430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社会进步指数</w:t>
          </w:r>
          <w:r>
            <w:tab/>
          </w:r>
          <w:r>
            <w:fldChar w:fldCharType="begin"/>
          </w:r>
          <w:r>
            <w:instrText xml:space="preserve"> PAGEREF _Toc21764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中国人权倒数第二</w:t>
          </w:r>
          <w:r>
            <w:tab/>
          </w:r>
          <w:r>
            <w:fldChar w:fldCharType="begin"/>
          </w:r>
          <w:r>
            <w:instrText xml:space="preserve"> PAGEREF _Toc13318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劳工权益</w:t>
          </w:r>
          <w:r>
            <w:rPr>
              <w:rFonts w:hint="default" w:ascii="MS Hei" w:hAnsi="MS Hei" w:eastAsia="宋体" w:cs="MS Hei"/>
              <w:i w:val="0"/>
              <w:caps w:val="0"/>
              <w:spacing w:val="0"/>
              <w:szCs w:val="17"/>
              <w:shd w:val="clear" w:fill="FFFFFF"/>
            </w:rPr>
            <w:t>法治指数</w:t>
          </w:r>
          <w:r>
            <w:tab/>
          </w:r>
          <w:r>
            <w:fldChar w:fldCharType="begin"/>
          </w:r>
          <w:r>
            <w:instrText xml:space="preserve"> PAGEREF _Toc28673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全球奴隶指数</w:t>
          </w:r>
          <w:r>
            <w:tab/>
          </w:r>
          <w:r>
            <w:fldChar w:fldCharType="begin"/>
          </w:r>
          <w:r>
            <w:instrText xml:space="preserve"> PAGEREF _Toc568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rPr>
              <w:i w:val="0"/>
              <w:caps w:val="0"/>
              <w:spacing w:val="0"/>
            </w:rPr>
            <w:t>订阅“简报”和“每日精选”新闻电邮</w:t>
          </w:r>
          <w:r>
            <w:tab/>
          </w:r>
          <w:r>
            <w:fldChar w:fldCharType="begin"/>
          </w:r>
          <w:r>
            <w:instrText xml:space="preserve"> PAGEREF _Toc17804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私有法</w:t>
          </w:r>
          <w:r>
            <w:tab/>
          </w:r>
          <w:r>
            <w:fldChar w:fldCharType="begin"/>
          </w:r>
          <w:r>
            <w:instrText xml:space="preserve"> PAGEREF _Toc26715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住宿产权私有别墅</w:t>
          </w:r>
          <w:r>
            <w:tab/>
          </w:r>
          <w:r>
            <w:fldChar w:fldCharType="begin"/>
          </w:r>
          <w:r>
            <w:instrText xml:space="preserve"> PAGEREF _Toc27003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教育</w:t>
          </w:r>
          <w:r>
            <w:tab/>
          </w:r>
          <w:r>
            <w:fldChar w:fldCharType="begin"/>
          </w:r>
          <w:r>
            <w:instrText xml:space="preserve"> PAGEREF _Toc22945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法制 方面的比较</w:t>
          </w:r>
          <w:r>
            <w:tab/>
          </w:r>
          <w:r>
            <w:fldChar w:fldCharType="begin"/>
          </w:r>
          <w:r>
            <w:instrText xml:space="preserve"> PAGEREF _Toc24078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_Toc981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音乐发达</w:t>
          </w:r>
          <w:r>
            <w:tab/>
          </w:r>
          <w:r>
            <w:fldChar w:fldCharType="begin"/>
          </w:r>
          <w:r>
            <w:instrText xml:space="preserve"> PAGEREF _Toc9287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差不多的地方</w:t>
          </w:r>
          <w:r>
            <w:tab/>
          </w:r>
          <w:r>
            <w:fldChar w:fldCharType="begin"/>
          </w:r>
          <w:r>
            <w:instrText xml:space="preserve"> PAGEREF _Toc19663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喜欢kalaok</w:t>
          </w:r>
          <w:r>
            <w:tab/>
          </w:r>
          <w:r>
            <w:fldChar w:fldCharType="begin"/>
          </w:r>
          <w:r>
            <w:instrText xml:space="preserve"> PAGEREF _Toc14348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经济与收入</w:t>
          </w:r>
          <w:r>
            <w:tab/>
          </w:r>
          <w:r>
            <w:fldChar w:fldCharType="begin"/>
          </w:r>
          <w:r>
            <w:instrText xml:space="preserve"> PAGEREF _Toc131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腐败指数</w:t>
          </w:r>
          <w:r>
            <w:tab/>
          </w:r>
          <w:r>
            <w:fldChar w:fldCharType="begin"/>
          </w:r>
          <w:r>
            <w:instrText xml:space="preserve"> PAGEREF _Toc7817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缺点</w:t>
          </w:r>
          <w:r>
            <w:tab/>
          </w:r>
          <w:r>
            <w:fldChar w:fldCharType="begin"/>
          </w:r>
          <w:r>
            <w:instrText xml:space="preserve"> PAGEREF _Toc23656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  <w:shd w:val="clear" w:fill="F8FAFC"/>
            </w:rPr>
            <w:t>女士优先</w:t>
          </w:r>
          <w:r>
            <w:tab/>
          </w:r>
          <w:r>
            <w:fldChar w:fldCharType="begin"/>
          </w:r>
          <w:r>
            <w:instrText xml:space="preserve"> PAGEREF _Toc8293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治安 绑架成人案</w:t>
          </w:r>
          <w:r>
            <w:tab/>
          </w:r>
          <w:r>
            <w:fldChar w:fldCharType="begin"/>
          </w:r>
          <w:r>
            <w:instrText xml:space="preserve"> PAGEREF _Toc19285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腐败</w:t>
          </w:r>
          <w:r>
            <w:tab/>
          </w:r>
          <w:r>
            <w:fldChar w:fldCharType="begin"/>
          </w:r>
          <w:r>
            <w:instrText xml:space="preserve"> PAGEREF _Toc22207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11.4. </w:t>
          </w:r>
          <w:r>
            <w:rPr>
              <w:rFonts w:hint="eastAsia"/>
              <w:lang w:val="en-US" w:eastAsia="zh-CN"/>
            </w:rPr>
            <w:t>网络与交通</w:t>
          </w:r>
          <w:r>
            <w:tab/>
          </w:r>
          <w:r>
            <w:fldChar w:fldCharType="begin"/>
          </w:r>
          <w:r>
            <w:instrText xml:space="preserve"> PAGEREF _Toc32004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_Toc10523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4999"/>
      <w:r>
        <w:rPr>
          <w:rFonts w:hint="eastAsia"/>
          <w:lang w:val="en-US" w:eastAsia="zh-CN"/>
        </w:rPr>
        <w:t>民主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453"/>
      <w:r>
        <w:rPr>
          <w:rFonts w:hint="eastAsia"/>
          <w:lang w:val="en-US" w:eastAsia="zh-CN"/>
        </w:rPr>
        <w:t>多党制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9272"/>
      <w:r>
        <w:rPr>
          <w:rFonts w:hint="eastAsia"/>
          <w:lang w:val="en-US" w:eastAsia="zh-CN"/>
        </w:rPr>
        <w:t>自由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417"/>
      <w:r>
        <w:t>集会</w:t>
      </w:r>
      <w:r>
        <w:rPr>
          <w:rFonts w:hint="eastAsia"/>
          <w:lang w:val="en-US" w:eastAsia="zh-CN"/>
        </w:rPr>
        <w:t>自由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885"/>
      <w:r>
        <w:rPr>
          <w:rFonts w:hint="eastAsia"/>
          <w:lang w:val="en-US" w:eastAsia="zh-CN"/>
        </w:rPr>
        <w:t>互联网信息自由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362"/>
      <w:r>
        <w:rPr>
          <w:rFonts w:hint="eastAsia"/>
          <w:lang w:val="en-US" w:eastAsia="zh-CN"/>
        </w:rPr>
        <w:t>言论自由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076"/>
      <w:r>
        <w:rPr>
          <w:rFonts w:hint="eastAsia"/>
          <w:lang w:val="en-US" w:eastAsia="zh-CN"/>
        </w:rPr>
        <w:t>新闻自由</w:t>
      </w:r>
      <w:bookmarkEnd w:id="6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DF0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DF0F5"/>
        </w:rPr>
        <w:t>菲律宾号称拥有全亚洲最自由的大众媒体，但某些媒体，特别是面向社会中下层人口的小报和当地语电台，经常为达到某种目的而突出“局部真理”。贩毒和其他商品交易相似，也是一种市场行为，同样需要卖方、买方和中介。资料表明，菲律宾毒品的最大市场还是在社会中下层，但每每东窗事发，在媒体报道中唱反面主角的似乎总是华人或中国人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DF0F5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EDF0F5"/>
        </w:rPr>
        <w:t>新闻自由指数：中国倒数第四|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759"/>
      <w:r>
        <w:t>公民自由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我认为菲律宾的公民自由在东盟是最好的。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他们对几乎其他东盟国家认为很奇怪的东西也有很高的容忍度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菲律宾的面貌是多样的，因为该国是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shd w:val="clear" w:fill="C9D7F1"/>
        </w:rPr>
        <w:t>文化的大熔炉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与日本或韩国等亚洲国家不同，菲律宾不是同质的。这有几个因素。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0"/>
      <w:r>
        <w:rPr>
          <w:rFonts w:hint="eastAsia"/>
          <w:lang w:val="en-US" w:eastAsia="zh-CN"/>
        </w:rPr>
        <w:t>迁徙自由 没有户籍制度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063"/>
      <w:r>
        <w:rPr>
          <w:rFonts w:hint="eastAsia"/>
          <w:lang w:val="en-US" w:eastAsia="zh-CN"/>
        </w:rPr>
        <w:t>护照含金量  东南亚比较不错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594"/>
      <w:r>
        <w:rPr>
          <w:rFonts w:hint="eastAsia"/>
          <w:lang w:val="en-US" w:eastAsia="zh-CN"/>
        </w:rPr>
        <w:t>约炮自由 红灯区多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209"/>
      <w:r>
        <w:rPr>
          <w:rFonts w:hint="eastAsia"/>
          <w:lang w:val="en-US" w:eastAsia="zh-CN"/>
        </w:rPr>
        <w:t>赌场多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741"/>
      <w:r>
        <w:rPr>
          <w:rFonts w:hint="eastAsia"/>
          <w:lang w:val="en-US" w:eastAsia="zh-CN"/>
        </w:rPr>
        <w:t>衣食住行  食品多样披萨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1629"/>
      <w:r>
        <w:rPr>
          <w:rFonts w:hint="eastAsia"/>
          <w:lang w:val="en-US" w:eastAsia="zh-CN"/>
        </w:rPr>
        <w:t>环境方面的比较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430"/>
      <w:r>
        <w:rPr>
          <w:rFonts w:hint="eastAsia"/>
          <w:lang w:val="en-US" w:eastAsia="zh-CN"/>
        </w:rPr>
        <w:t>人权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64"/>
      <w:r>
        <w:t>社会进步指数</w:t>
      </w:r>
      <w:bookmarkEnd w:id="15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中国总排名在第92位，与人均GDP排名不相衬；就人权指标而言，中国仅排在古巴之前。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3318"/>
      <w:r>
        <w:rPr>
          <w:rFonts w:hint="eastAsia"/>
        </w:rPr>
        <w:t>中国人权倒数第二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673"/>
      <w:r>
        <w:rPr>
          <w:rFonts w:hint="eastAsia"/>
          <w:lang w:val="en-US" w:eastAsia="zh-CN"/>
        </w:rPr>
        <w:t>劳工权益</w:t>
      </w:r>
      <w:r>
        <w:rPr>
          <w:rFonts w:hint="default" w:ascii="MS Hei" w:hAnsi="MS Hei" w:eastAsia="宋体" w:cs="MS Hei"/>
          <w:i w:val="0"/>
          <w:caps w:val="0"/>
          <w:color w:val="3E3E3E"/>
          <w:spacing w:val="0"/>
          <w:sz w:val="17"/>
          <w:szCs w:val="17"/>
          <w:shd w:val="clear" w:fill="FFFFFF"/>
        </w:rPr>
        <w:t>法治指数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S Hei" w:hAnsi="MS Hei" w:eastAsia="宋体" w:cs="MS Hei"/>
          <w:i w:val="0"/>
          <w:caps w:val="0"/>
          <w:color w:val="3E3E3E"/>
          <w:spacing w:val="0"/>
          <w:sz w:val="17"/>
          <w:szCs w:val="17"/>
          <w:shd w:val="clear" w:fill="FFFFFF"/>
        </w:rPr>
        <w:t>而中国在集会和言论自由的法治指数排名最糟糕，位列</w:t>
      </w:r>
      <w:r>
        <w:rPr>
          <w:rFonts w:hint="default" w:ascii="MS Hei" w:hAnsi="MS Hei" w:eastAsia="宋体" w:cs="MS Hei"/>
          <w:i w:val="0"/>
          <w:caps w:val="0"/>
          <w:color w:val="3E3E3E"/>
          <w:spacing w:val="0"/>
          <w:sz w:val="17"/>
          <w:szCs w:val="17"/>
          <w:shd w:val="clear" w:fill="FFFFFF"/>
        </w:rPr>
        <w:t>66个国家中的最后一名，在劳工权利的法治指数排名中位居第61名。</w:t>
      </w:r>
    </w:p>
    <w:p>
      <w:pPr>
        <w:pStyle w:val="3"/>
        <w:bidi w:val="0"/>
        <w:rPr>
          <w:rFonts w:hint="default"/>
        </w:rPr>
      </w:pPr>
      <w:bookmarkStart w:id="18" w:name="_Toc568"/>
      <w:r>
        <w:rPr>
          <w:rFonts w:hint="default"/>
        </w:rPr>
        <w:t>全球奴隶指数</w:t>
      </w:r>
      <w:bookmarkEnd w:id="18"/>
    </w:p>
    <w:p>
      <w:pPr>
        <w:bidi w:val="0"/>
        <w:rPr>
          <w:rFonts w:hint="default"/>
        </w:rPr>
      </w:pPr>
      <w:r>
        <w:rPr>
          <w:rFonts w:hint="default"/>
        </w:rPr>
        <w:t>：中国第二</w:t>
      </w:r>
    </w:p>
    <w:p>
      <w:pPr>
        <w:keepNext w:val="0"/>
        <w:keepLines w:val="0"/>
        <w:widowControl/>
        <w:suppressLineNumbers w:val="0"/>
        <w:spacing w:line="394" w:lineRule="atLeast"/>
        <w:ind w:left="0" w:firstLine="0"/>
        <w:jc w:val="left"/>
        <w:rPr>
          <w:rFonts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在历史上，奴隶制是指把人当作合法财产对待。这种做法已被普遍禁止。现代奴役形式则通常定义为人口贩运、强迫劳动、债务奴役、强迫或奴役型婚姻，以及商业化的性剥削。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19" w:name="_Toc17804"/>
      <w:r>
        <w:rPr>
          <w:i w:val="0"/>
          <w:caps w:val="0"/>
          <w:color w:val="000000"/>
          <w:spacing w:val="0"/>
          <w:bdr w:val="none" w:color="auto" w:sz="0" w:space="0"/>
        </w:rPr>
        <w:t>订阅“简报”和“每日精选”新闻电邮</w:t>
      </w:r>
      <w:bookmarkEnd w:id="19"/>
    </w:p>
    <w:p>
      <w:pPr>
        <w:pStyle w:val="2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同意接收纽约时报中文网的产品和服务推广邮件</w:t>
      </w:r>
    </w:p>
    <w:p>
      <w:pPr>
        <w:pStyle w:val="21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6"/>
        <w:spacing w:before="3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888888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instrText xml:space="preserve"> HYPERLINK "https://us12.campaign-archive.com/home/?u=4811ca8b8001c18674edf6fad&amp;id=82942a3bd2" </w:instrText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caps w:val="0"/>
          <w:color w:val="4C5157"/>
          <w:spacing w:val="0"/>
          <w:sz w:val="16"/>
          <w:szCs w:val="16"/>
          <w:u w:val="none"/>
          <w:bdr w:val="none" w:color="auto" w:sz="0" w:space="0"/>
          <w:shd w:val="clear" w:fill="F1F2F6"/>
        </w:rPr>
        <w:t>查看往期电邮</w:t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888888"/>
          <w:spacing w:val="0"/>
          <w:kern w:val="0"/>
          <w:sz w:val="16"/>
          <w:szCs w:val="16"/>
          <w:bdr w:val="none" w:color="auto" w:sz="0" w:space="0"/>
          <w:shd w:val="clear" w:fill="F1F2F6"/>
          <w:lang w:val="en-US" w:eastAsia="zh-CN" w:bidi="ar"/>
        </w:rPr>
        <w:t> </w:t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instrText xml:space="preserve"> HYPERLINK "https://help.nytimes.com/hc/en-us/articles/115014892108-Privacy-policy" </w:instrText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caps w:val="0"/>
          <w:color w:val="4C5157"/>
          <w:spacing w:val="0"/>
          <w:sz w:val="16"/>
          <w:szCs w:val="16"/>
          <w:u w:val="none"/>
          <w:bdr w:val="none" w:color="auto" w:sz="0" w:space="0"/>
          <w:shd w:val="clear" w:fill="F1F2F6"/>
        </w:rPr>
        <w:t>隐私权声明</w:t>
      </w:r>
      <w:r>
        <w:rPr>
          <w:rFonts w:hint="default" w:ascii="Georgia" w:hAnsi="Georgia" w:eastAsia="Georgia" w:cs="Georgia"/>
          <w:i w:val="0"/>
          <w:caps w:val="0"/>
          <w:color w:val="4C5157"/>
          <w:spacing w:val="0"/>
          <w:kern w:val="0"/>
          <w:sz w:val="16"/>
          <w:szCs w:val="16"/>
          <w:u w:val="none"/>
          <w:bdr w:val="none" w:color="auto" w:sz="0" w:space="0"/>
          <w:shd w:val="clear" w:fill="F1F2F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single" w:color="DDDDDD" w:sz="4" w:space="7"/>
          <w:right w:val="none" w:color="auto" w:sz="0" w:space="0"/>
        </w:pBdr>
        <w:shd w:val="clear" w:fill="F7F7F7"/>
        <w:spacing w:before="100" w:beforeAutospacing="0"/>
        <w:ind w:left="0" w:firstLine="0"/>
        <w:jc w:val="center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B5B5B5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广告</w:t>
      </w:r>
    </w:p>
    <w:p>
      <w:pPr>
        <w:keepNext w:val="0"/>
        <w:keepLines w:val="0"/>
        <w:widowControl/>
        <w:suppressLineNumbers w:val="0"/>
        <w:spacing w:line="394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自由行走基金会的报告称，现代奴役形式一半以上的受害者分布在五个国家——印度1835万、中国339万、巴基斯坦213万、孟加拉国153万，以及乌兹别克斯坦123万。</w:t>
      </w:r>
    </w:p>
    <w:p>
      <w:pPr>
        <w:keepNext w:val="0"/>
        <w:keepLines w:val="0"/>
        <w:widowControl/>
        <w:suppressLineNumbers w:val="0"/>
        <w:spacing w:line="394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该报告表示，现代奴役形式受害者比例最高的是朝鲜，占人口总数的4.37%，接下来是乌兹别克斯坦的3.97%、柬埔寨的1.65%，印度的1.4%，以及卡塔尔的1.36%。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6715"/>
      <w:r>
        <w:rPr>
          <w:rFonts w:hint="eastAsia"/>
          <w:lang w:val="en-US" w:eastAsia="zh-CN"/>
        </w:rPr>
        <w:t>私有法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003"/>
      <w:r>
        <w:rPr>
          <w:rFonts w:hint="eastAsia"/>
          <w:lang w:val="en-US" w:eastAsia="zh-CN"/>
        </w:rPr>
        <w:t>住宿产权私有别墅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2945"/>
      <w:r>
        <w:rPr>
          <w:rFonts w:hint="eastAsia"/>
          <w:lang w:val="en-US" w:eastAsia="zh-CN"/>
        </w:rPr>
        <w:t>教育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4078"/>
      <w:r>
        <w:rPr>
          <w:rFonts w:hint="eastAsia"/>
          <w:lang w:val="en-US" w:eastAsia="zh-CN"/>
        </w:rPr>
        <w:t>法制 方面的比较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全球法治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指数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ascii="MS Hei" w:hAnsi="MS Hei" w:eastAsia="MS Hei" w:cs="MS Hei"/>
          <w:color w:val="888888"/>
          <w:sz w:val="15"/>
          <w:szCs w:val="15"/>
        </w:rPr>
      </w:pPr>
      <w:r>
        <w:rPr>
          <w:rFonts w:hint="default" w:ascii="MS Hei" w:hAnsi="MS Hei" w:eastAsia="MS Hei" w:cs="MS Hei"/>
          <w:i w:val="0"/>
          <w:caps w:val="0"/>
          <w:color w:val="888888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MS Hei" w:hAnsi="MS Hei" w:eastAsia="MS Hei" w:cs="MS Hei"/>
          <w:i w:val="0"/>
          <w:caps w:val="0"/>
          <w:color w:val="888888"/>
          <w:spacing w:val="0"/>
          <w:sz w:val="15"/>
          <w:szCs w:val="15"/>
          <w:bdr w:val="none" w:color="auto" w:sz="0" w:space="0"/>
          <w:shd w:val="clear" w:fill="FFFFFF"/>
        </w:rPr>
        <w:t>公平正义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50" w:lineRule="atLeast"/>
        <w:ind w:left="0" w:right="0"/>
        <w:rPr>
          <w:rFonts w:hint="default" w:ascii="MS Hei" w:hAnsi="MS Hei" w:eastAsia="MS Hei" w:cs="MS Hei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S Hei" w:hAnsi="MS Hei" w:eastAsia="MS Hei" w:cs="MS Hei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调查八大类"法治指数"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981"/>
      <w:r>
        <w:rPr>
          <w:rFonts w:hint="eastAsia"/>
          <w:lang w:val="en-US" w:eastAsia="zh-CN"/>
        </w:rPr>
        <w:t>其他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287"/>
      <w:r>
        <w:rPr>
          <w:rFonts w:hint="eastAsia"/>
          <w:lang w:val="en-US" w:eastAsia="zh-CN"/>
        </w:rPr>
        <w:t>音乐发达</w:t>
      </w:r>
      <w:bookmarkEnd w:id="2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50" w:lineRule="atLeast"/>
        <w:ind w:left="0" w:right="0"/>
        <w:rPr>
          <w:rFonts w:hint="default" w:ascii="MS Hei" w:hAnsi="MS Hei" w:eastAsia="MS Hei" w:cs="MS Hei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9663"/>
      <w:r>
        <w:rPr>
          <w:rFonts w:hint="eastAsia"/>
          <w:lang w:val="en-US" w:eastAsia="zh-CN"/>
        </w:rPr>
        <w:t>差不多的地方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4348"/>
      <w:r>
        <w:rPr>
          <w:rFonts w:hint="eastAsia"/>
          <w:lang w:val="en-US" w:eastAsia="zh-CN"/>
        </w:rPr>
        <w:t>喜欢kalaok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31"/>
      <w:r>
        <w:rPr>
          <w:rFonts w:hint="eastAsia"/>
          <w:lang w:val="en-US" w:eastAsia="zh-CN"/>
        </w:rPr>
        <w:t>经济与收入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7817"/>
      <w:r>
        <w:rPr>
          <w:rFonts w:hint="eastAsia"/>
          <w:lang w:val="en-US" w:eastAsia="zh-CN"/>
        </w:rPr>
        <w:t>腐败指数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3656"/>
      <w:r>
        <w:rPr>
          <w:rFonts w:hint="eastAsia"/>
          <w:lang w:val="en-US" w:eastAsia="zh-CN"/>
        </w:rPr>
        <w:t>缺点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293"/>
      <w:r>
        <w:rPr>
          <w:rStyle w:val="17"/>
          <w:rFonts w:ascii="Segoe UI" w:hAnsi="Segoe UI" w:eastAsia="Segoe UI" w:cs="Segoe UI"/>
          <w:b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8FAFC"/>
        </w:rPr>
        <w:t>女士优先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9285"/>
      <w:r>
        <w:rPr>
          <w:rFonts w:hint="eastAsia"/>
          <w:lang w:val="en-US" w:eastAsia="zh-CN"/>
        </w:rPr>
        <w:t>治安 绑架成人案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207"/>
      <w:r>
        <w:rPr>
          <w:rFonts w:hint="eastAsia"/>
          <w:lang w:val="en-US" w:eastAsia="zh-CN"/>
        </w:rPr>
        <w:t>腐败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菲律宾 2018年 </w:t>
      </w:r>
    </w:p>
    <w:tbl>
      <w:tblPr>
        <w:tblW w:w="0" w:type="auto"/>
        <w:tblCellSpacing w:w="0" w:type="dxa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05"/>
        <w:gridCol w:w="939"/>
        <w:gridCol w:w="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EA621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99</w:t>
            </w:r>
          </w:p>
        </w:tc>
        <w:tc>
          <w:tcPr>
            <w:tcW w:w="0" w:type="auto"/>
            <w:shd w:val="clear" w:color="auto" w:fill="EA621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"https://zh.wikipedia.org/wiki/%E8%8F%B2%E5%BE%8B%E5%AE%BE" \o "菲律宾"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菲律宾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A621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36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中华人民共和国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2004"/>
      <w:r>
        <w:rPr>
          <w:rFonts w:hint="eastAsia"/>
          <w:lang w:val="en-US" w:eastAsia="zh-CN"/>
        </w:rPr>
        <w:t>网络与交通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0523"/>
      <w:r>
        <w:rPr>
          <w:rFonts w:hint="eastAsia"/>
          <w:lang w:val="en-US" w:eastAsia="zh-CN"/>
        </w:rPr>
        <w:t>Ref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民主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指数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（英語：Democracy Index）</w:t>
      </w:r>
    </w:p>
    <w:p>
      <w:pP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自由指数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全球法治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指数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联合国年度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人权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发展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指数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显示，</w:t>
      </w:r>
    </w:p>
    <w:p>
      <w:pPr>
        <w:bidi w:val="0"/>
      </w:pPr>
      <w:r>
        <w:rPr>
          <w:rFonts w:hint="eastAsia"/>
        </w:rPr>
        <w:t>全球社会进步指数挪威称冠 中国人权倒数第二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全球社会进步指数挪威称冠 中国人权倒数第二 _ 中国生态 _ 中国社会 _ 美国社会 _ 大纪元.html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清廉指数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8E0A1"/>
    <w:multiLevelType w:val="multilevel"/>
    <w:tmpl w:val="62A8E0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80800"/>
    <w:rsid w:val="01E13B0C"/>
    <w:rsid w:val="01F77063"/>
    <w:rsid w:val="024E4D1F"/>
    <w:rsid w:val="035A2F41"/>
    <w:rsid w:val="095B5CF8"/>
    <w:rsid w:val="0C7A6FBC"/>
    <w:rsid w:val="0E3B0638"/>
    <w:rsid w:val="13DD111F"/>
    <w:rsid w:val="15212935"/>
    <w:rsid w:val="165221E4"/>
    <w:rsid w:val="17840BAC"/>
    <w:rsid w:val="18A04FD4"/>
    <w:rsid w:val="18D80800"/>
    <w:rsid w:val="212802AE"/>
    <w:rsid w:val="2272687E"/>
    <w:rsid w:val="2388035C"/>
    <w:rsid w:val="26B22F6E"/>
    <w:rsid w:val="29675AE5"/>
    <w:rsid w:val="2AB040B3"/>
    <w:rsid w:val="2BAC0B89"/>
    <w:rsid w:val="2C15328E"/>
    <w:rsid w:val="2DD93135"/>
    <w:rsid w:val="311C2FBA"/>
    <w:rsid w:val="31551F24"/>
    <w:rsid w:val="34057542"/>
    <w:rsid w:val="342B0E12"/>
    <w:rsid w:val="36C20F6E"/>
    <w:rsid w:val="3A61199C"/>
    <w:rsid w:val="3A873C3D"/>
    <w:rsid w:val="3B0C3B14"/>
    <w:rsid w:val="433841DA"/>
    <w:rsid w:val="47BD7C97"/>
    <w:rsid w:val="492B78F9"/>
    <w:rsid w:val="4A6E6B63"/>
    <w:rsid w:val="4B373D92"/>
    <w:rsid w:val="4E590BFA"/>
    <w:rsid w:val="53A56138"/>
    <w:rsid w:val="53F86C71"/>
    <w:rsid w:val="558C4965"/>
    <w:rsid w:val="57D42CFF"/>
    <w:rsid w:val="598B5D47"/>
    <w:rsid w:val="5D61321E"/>
    <w:rsid w:val="5F8B74E2"/>
    <w:rsid w:val="62364729"/>
    <w:rsid w:val="630B3246"/>
    <w:rsid w:val="6322063F"/>
    <w:rsid w:val="64DD3C31"/>
    <w:rsid w:val="6B4F2F5A"/>
    <w:rsid w:val="6C845A5D"/>
    <w:rsid w:val="703A4F16"/>
    <w:rsid w:val="74B94E16"/>
    <w:rsid w:val="75CB4D9F"/>
    <w:rsid w:val="76457BD1"/>
    <w:rsid w:val="767724F3"/>
    <w:rsid w:val="79C9128E"/>
    <w:rsid w:val="7B53333B"/>
    <w:rsid w:val="7CDD4A18"/>
    <w:rsid w:val="7F4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2019-12-22T21:17:00Z</dcterms:created>
  <dc:creator>ATI老哇的爪子007</dc:creator>
  <cp:lastModifiedBy>ATI老哇的爪子007</cp:lastModifiedBy>
  <dcterms:modified xsi:type="dcterms:W3CDTF">2019-12-25T12:10:38Z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