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Atitit.圣经与古兰经的目录结构对比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旧约圣经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（39卷）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与古兰经的对比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.2. </w:t>
      </w:r>
      <w:r>
        <w:rPr>
          <w:rFonts w:ascii="Verdana" w:hAnsi="Verdana" w:eastAsia="宋体" w:cs="Verdana"/>
          <w:i w:val="0"/>
          <w:caps w:val="0"/>
          <w:color w:val="CCCCCC"/>
          <w:spacing w:val="0"/>
          <w:kern w:val="2"/>
          <w:szCs w:val="18"/>
          <w:shd w:val="clear" w:fill="7C7C7C"/>
          <w:lang w:val="en-US" w:eastAsia="zh-CN" w:bidi="ar-SA"/>
        </w:rPr>
        <w:t>Genesis</w:t>
      </w:r>
      <w:r>
        <w:rPr>
          <w:rFonts w:hint="eastAsia" w:ascii="Verdana" w:hAnsi="Verdana" w:eastAsia="宋体" w:cs="Verdana"/>
          <w:i w:val="0"/>
          <w:caps w:val="0"/>
          <w:color w:val="CCCCCC"/>
          <w:spacing w:val="0"/>
          <w:kern w:val="2"/>
          <w:szCs w:val="18"/>
          <w:shd w:val="clear" w:fill="7C7C7C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创世记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五十章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.3.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出埃及记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.6.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利未记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民数记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申命记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约书亚记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士师记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路得记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撒母耳记上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撒母耳记下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列王纪上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列王纪下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历代志上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历代志下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以斯拉记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尼希米记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以斯帖记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约伯记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诗篇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箴言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传道书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雅歌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以赛亚书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耶利米书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耶利米哀歌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以西结书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但以理书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何西阿书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约珥书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阿摩司书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俄巴底亚书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约拿书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弥迦书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那鸿书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哈巴谷书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西番雅书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哈该书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撒迦利亚书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玛拉基书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新约圣经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（27卷经书汇集而成）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摩西五经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Fonts w:hint="default"/>
        </w:rPr>
      </w:pPr>
      <w:bookmarkStart w:id="0" w:name="_Toc21820"/>
      <w:r>
        <w:rPr>
          <w:rFonts w:hint="eastAsia"/>
        </w:rPr>
        <w:t>旧约圣经</w:t>
      </w:r>
      <w:r>
        <w:rPr>
          <w:rFonts w:hint="default"/>
        </w:rPr>
        <w:t>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39卷）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770"/>
      <w:r>
        <w:rPr>
          <w:rFonts w:hint="eastAsia"/>
          <w:lang w:val="en-US" w:eastAsia="zh-CN"/>
        </w:rPr>
        <w:t>与古兰经的对比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古兰经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共有30卷114章6236节，古兰经每一章以一个阿拉伯语词作为名称</w:t>
      </w:r>
    </w:p>
    <w:p>
      <w:pPr>
        <w:keepNext w:val="0"/>
        <w:keepLines w:val="0"/>
        <w:widowControl/>
        <w:suppressLineNumbers w:val="0"/>
        <w:jc w:val="left"/>
        <w:rPr>
          <w:color w:val="136EC2"/>
          <w:u w:val="none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，为方便在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"http://baike.baidu.com/view/271446.htm"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斋月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（莱买丹月）诵读分为30卷，故在中国民间有“三十本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"http://baike.baidu.com/view/985374.htm"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古尔阿尼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”的俗称。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除第1章为祈祷词外，从第2章开始，《古兰经》大体以篇幅大小从长到短编纂，但也不尽然。《古兰经》不是按时间顺序编纂的，故每章间在内容上并无关联性。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《古兰经》中除了有一章对优素福的故事讲得比较完整并具有故事性外，其余人物的事迹有的断断续续散见于数章之中，有的只提及人物的某事或某言，有的甚至只提及其名而未讲述其任何事迹</w:t>
      </w:r>
      <w:bookmarkStart w:id="12" w:name="_GoBack"/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29039"/>
      <w:r>
        <w:rPr>
          <w:rFonts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</w:rPr>
        <w:t>Genesis</w:t>
      </w:r>
      <w:r>
        <w:rPr>
          <w:rFonts w:hint="eastAsia" w:ascii="Verdana" w:hAnsi="Verdana" w:eastAsia="宋体" w:cs="Verdana"/>
          <w:b w:val="0"/>
          <w:i w:val="0"/>
          <w:caps w:val="0"/>
          <w:color w:val="CCCCCC"/>
          <w:spacing w:val="0"/>
          <w:sz w:val="18"/>
          <w:szCs w:val="18"/>
          <w:shd w:val="clear" w:fill="7C7C7C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创世记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五十章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主要内容：： 伊甸园的故事，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大洪水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挪亚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方舟  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巴别塔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（通天塔）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亚伯拉罕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（戴罪羔羊），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以撒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．雅各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约瑟为法老解梦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此后，由第十二至五十章，我们得见以色列——神的“试管国家”建立起来，成为世界各民各族属灵的缩影。先祖亚伯拉罕、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"http://baike.baidu.com/view/357571.htm"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、雅各和他十二个儿子，特别是敬虔可佩的约瑟，他们的生平激励了千千万万的人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bookmarkStart w:id="3" w:name="3"/>
      <w:bookmarkEnd w:id="3"/>
      <w:bookmarkStart w:id="4" w:name="sub18733732_3"/>
      <w:bookmarkEnd w:id="4"/>
      <w:bookmarkStart w:id="5" w:name="书卷作者"/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6" w:name="_Toc755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出埃及记 </w:t>
      </w:r>
      <w:bookmarkEnd w:id="6"/>
    </w:p>
    <w:p>
      <w:pPr>
        <w:rPr>
          <w:rFonts w:hint="default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7" w:name="_Toc22422"/>
      <w:bookmarkEnd w:id="7"/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8" w:name="_Toc32486"/>
      <w:bookmarkEnd w:id="8"/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9" w:name="_Toc586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利未记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民数记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申命记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约书亚记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士师记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路得记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撒母耳记上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撒母耳记下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列王纪上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列王纪下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历代志上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历代志下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以斯拉记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尼希米记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以斯帖记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约伯记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诗篇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箴言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传道书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雅歌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以赛亚书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耶利米书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耶利米哀歌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以西结书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但以理书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何西阿书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约珥书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阿摩司书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俄巴底亚书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弥迦书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哈巴谷书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西番雅书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哈该书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撒迦利亚书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玛拉基书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9"/>
    </w:p>
    <w:p>
      <w:pPr>
        <w:pStyle w:val="2"/>
        <w:rPr>
          <w:rFonts w:hint="default"/>
        </w:rPr>
      </w:pPr>
      <w:bookmarkStart w:id="10" w:name="_Toc14578"/>
      <w:r>
        <w:rPr>
          <w:rFonts w:hint="default"/>
        </w:rPr>
        <w:t>新约圣经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27卷经书汇集而成）</w:t>
      </w:r>
      <w:bookmarkEnd w:id="1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马太福音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马可福音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路加福音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约翰福音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使徒行传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罗马书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哥林多前书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哥林多后书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加拉太书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以弗所书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腓立比书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歌罗西书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帖撒罗尼迦前书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帖撒罗尼迦后书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提摩太前书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提摩太后书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腓利门书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希伯来书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雅各书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彼得前书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彼得后书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约翰二书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约翰三书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犹大书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启示录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1" w:name="_Toc6353"/>
      <w:r>
        <w:t>摩西五经</w:t>
      </w:r>
      <w:bookmarkEnd w:id="11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摩西五经（是希伯来圣经最初的五部经典：《创世记》、《出埃及记》、《利未记》、《民数记》、《申命记》。希伯来文称涛如阿תּוֹרָה，为教导、指示及律法的意思。它是犹太教经典中最重要的部分。同时它也是公元前6世纪以前唯一的一部希伯来法律汇编，并作为犹太国国家的法律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98447">
    <w:nsid w:val="5682952F"/>
    <w:multiLevelType w:val="multilevel"/>
    <w:tmpl w:val="5682952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1398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258DE"/>
    <w:rsid w:val="038E05E4"/>
    <w:rsid w:val="04731B5B"/>
    <w:rsid w:val="07B332B2"/>
    <w:rsid w:val="0C5A3BCF"/>
    <w:rsid w:val="0F7B24F3"/>
    <w:rsid w:val="108F6B38"/>
    <w:rsid w:val="14751D21"/>
    <w:rsid w:val="1AC8397F"/>
    <w:rsid w:val="1B5A0CF0"/>
    <w:rsid w:val="1BA7556B"/>
    <w:rsid w:val="226B4005"/>
    <w:rsid w:val="24A03FA5"/>
    <w:rsid w:val="26C6392A"/>
    <w:rsid w:val="320C542C"/>
    <w:rsid w:val="337258DE"/>
    <w:rsid w:val="3A923414"/>
    <w:rsid w:val="43B4209F"/>
    <w:rsid w:val="442F19E9"/>
    <w:rsid w:val="462640A2"/>
    <w:rsid w:val="4C783B02"/>
    <w:rsid w:val="4F373A05"/>
    <w:rsid w:val="521B4A42"/>
    <w:rsid w:val="526712BE"/>
    <w:rsid w:val="53813090"/>
    <w:rsid w:val="588A01CF"/>
    <w:rsid w:val="58F133F6"/>
    <w:rsid w:val="5C54188A"/>
    <w:rsid w:val="61187559"/>
    <w:rsid w:val="6377033D"/>
    <w:rsid w:val="6B6E044D"/>
    <w:rsid w:val="6B7C0A68"/>
    <w:rsid w:val="6BA37623"/>
    <w:rsid w:val="6C976C36"/>
    <w:rsid w:val="7086142A"/>
    <w:rsid w:val="73E51DB1"/>
    <w:rsid w:val="740D1C70"/>
    <w:rsid w:val="772E0594"/>
    <w:rsid w:val="7BC57D1D"/>
    <w:rsid w:val="7D69294D"/>
    <w:rsid w:val="7E3E74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2015-12-29T13:49:00Z</dcterms:created>
  <dc:creator>Administrator</dc:creator>
  <cp:lastModifiedBy>Administrator</cp:lastModifiedBy>
  <dcterms:modified xsi:type="dcterms:W3CDTF">2015-12-29T14:18:00Z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