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云计算之道 attilax著 艾龙 著  serverless bomb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云计算体系</w:t>
      </w:r>
      <w:r>
        <w:tab/>
      </w:r>
      <w:r>
        <w:fldChar w:fldCharType="begin"/>
      </w:r>
      <w:r>
        <w:instrText xml:space="preserve"> PAGEREF _Toc30033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2.6 3种服务模式 43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2.6.1 IaaS 45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2.6.2 PaaS 48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2.6.3 SaaS 53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_Toc13408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2.7 4种部署模型 60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2.7.1 私有云 60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2.7.2 社区云 63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2.7.3 公共云 65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2.7.4 混合云 66</w:t>
      </w:r>
      <w:r>
        <w:tab/>
      </w:r>
      <w:r>
        <w:fldChar w:fldCharType="begin"/>
      </w:r>
      <w:r>
        <w:instrText xml:space="preserve"> PAGEREF _Toc7219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t>“云”技术 147</w:t>
      </w:r>
      <w:r>
        <w:tab/>
      </w:r>
      <w:r>
        <w:fldChar w:fldCharType="begin"/>
      </w:r>
      <w:r>
        <w:instrText xml:space="preserve"> PAGEREF _Toc740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 3 章?云计算及大数据开源软件概览 65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3.1?OpenStack概述 66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3.2?容器开源软件：Kubernetes / Mesos / Docker 72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3.3?大数据开源软件：Hadoop/Spark 73</w:t>
      </w:r>
      <w:r>
        <w:tab/>
      </w:r>
      <w:r>
        <w:fldChar w:fldCharType="begin"/>
      </w:r>
      <w:r>
        <w:instrText xml:space="preserve"> PAGEREF _Toc3263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第 13 章?云微服务敏捷治理架构与组织流程 275</w:t>
      </w:r>
      <w:r>
        <w:tab/>
      </w:r>
      <w:r>
        <w:fldChar w:fldCharType="begin"/>
      </w:r>
      <w:r>
        <w:instrText xml:space="preserve"> PAGEREF _Toc11284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t>云使能技术</w:t>
      </w:r>
      <w:r>
        <w:tab/>
      </w:r>
      <w:r>
        <w:fldChar w:fldCharType="begin"/>
      </w:r>
      <w:r>
        <w:instrText xml:space="preserve"> PAGEREF _Toc29523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7.1.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5.1　宽带网络和Internet架构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5.1.1　Internet服务提供者（ISP）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5.1.2　无连接分组交换（数据报网络）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5.1.3　基于路由器的互联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5.1.4　技术和商业考量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　数据中心技术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5.2.1　虚拟化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5.2.2　标准化与模块化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5.2.3　自动化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5.2.4　远程操作与管理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5.2.5　高可用性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5.2.6　安全感知的设计、操作和管理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5.2.7　配套设施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5.2.8　计算硬件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5.2.9　存储硬件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5.2.10　网络硬件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5.2.11　其他考量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_Toc23054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7.2. 5.3　虚拟化技术</w:t>
      </w:r>
      <w:r>
        <w:tab/>
      </w:r>
      <w:r>
        <w:fldChar w:fldCharType="begin"/>
      </w:r>
      <w:r>
        <w:instrText xml:space="preserve"> PAGEREF _Toc11238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7.3. 5.4　Web技术</w:t>
      </w:r>
      <w:r>
        <w:tab/>
      </w:r>
      <w:r>
        <w:fldChar w:fldCharType="begin"/>
      </w:r>
      <w:r>
        <w:instrText xml:space="preserve"> PAGEREF _Toc12791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7.4. </w:t>
      </w:r>
      <w:r>
        <w:rPr>
          <w:rFonts w:hint="default"/>
        </w:rPr>
        <w:t>5.6　服务技术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5.6.1　Web服务　　5.6.2　REST服务　　5.6.3　服务代理　　5.6.4　服务中间件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_Toc17383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7.5.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第6章　基本云安全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6.1　基本术语和概念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6.1.1　保密性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6.1.2　完整性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　　6.1.3　真实性</w:t>
      </w:r>
      <w:r>
        <w:tab/>
      </w:r>
      <w:r>
        <w:fldChar w:fldCharType="begin"/>
      </w:r>
      <w:r>
        <w:instrText xml:space="preserve"> PAGEREF _Toc7385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Bomb云费用 50每月</w:t>
      </w:r>
      <w:r>
        <w:tab/>
      </w:r>
      <w:r>
        <w:fldChar w:fldCharType="begin"/>
      </w:r>
      <w:r>
        <w:instrText xml:space="preserve"> PAGEREF _Toc13361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 《云计算（第三版）》(刘鹏　主编)【简介_书评_在线阅读】 - 当当图书.mhtml</w:t>
      </w:r>
      <w:r>
        <w:tab/>
      </w:r>
      <w:r>
        <w:fldChar w:fldCharType="begin"/>
      </w:r>
      <w:r>
        <w:instrText xml:space="preserve"> PAGEREF _Toc23634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_Toc23399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　角色与边界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4.1.1　云提供者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4.1.2　云用户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4.1.3　云服务拥有者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4.1.4　云资源管理者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4.1.5　其他角色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4.1.6　组织边界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4.1.7　信任边界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　云特性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4.2.1　按需使用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4.2.2　泛在接入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4.2.3　多租户（和资源池）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4.2.4　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4.2.5　可测量的使用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4.2.6　可恢复性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　云交付模型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4.3.1　基础设施作为服务（IaaS）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4.3.2　平台作为服务（PaaS）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4.3.3　软件作为服务（SaaS）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4.3.4　云交付模型比较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4.3.5　云交付模型组合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3.2　基本概念与术语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3.2.1　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3.2.2　IT资源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3.2.3　企业内部的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3.2.4　云用户与云提供者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3.2.5　可扩展性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3.2.6　云服务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3.2.7　云服务用户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云计算资料包里面的东西还没有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org</w:t>
      </w:r>
      <w:bookmarkStart w:id="15" w:name="_GoBack"/>
      <w:bookmarkEnd w:id="15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0033"/>
      <w:r>
        <w:rPr>
          <w:rFonts w:hint="eastAsia"/>
          <w:lang w:val="en-US" w:eastAsia="zh-CN"/>
        </w:rPr>
        <w:t>云计算体系</w:t>
      </w:r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38090" cy="3047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bookmarkStart w:id="1" w:name="_Toc13408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2.6 3种服务模式 43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2.6.1 IaaS 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2.6.2 PaaS 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2.6.3 SaaS 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"/>
    </w:p>
    <w:p>
      <w:pPr>
        <w:pStyle w:val="2"/>
      </w:pPr>
      <w:bookmarkStart w:id="2" w:name="_Toc7219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2.7 4种部署模型 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2.7.1 私有云 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2.7.2 社区云 63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2.7.3 公共云 65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2.7.4 混合云 66</w:t>
      </w:r>
      <w:bookmarkEnd w:id="2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“云”架构 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 云架构参考模型 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 云服务消费者 81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 云服务提供商 82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3.3.1 服务编排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3.3.2 云服务管理 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3.3.3 安全保障 87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3.3.4 隐私保护 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 云计算审计员 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 云服务代理商 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 云服务承运商 92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 “云”组件 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 开源组件 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4.1.1 开源计算项目 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4.1.2 虚拟化 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4.1.3 操作系统 103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4.1.4 数据库 104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4.1.5 中间件 113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4.1.6 基础服务 118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4.1.7 云管理工具 123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4.1.8 应用软件 140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 商业组件 141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4.2.1 VMware 141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4.2.2 Citrix 142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4.2.3 Microsoft 144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3" w:name="_Toc740"/>
      <w:r>
        <w:t>“云”技术 147</w:t>
      </w:r>
      <w:bookmarkEnd w:id="3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 云端技术 147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 云布局 149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5.1.2 存储 153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Style w:val="18"/>
          <w:rFonts w:hint="default"/>
        </w:rPr>
        <w:t>5.1.3 虚拟化与容器技术 160</w:t>
      </w:r>
      <w:r>
        <w:rPr>
          <w:rStyle w:val="18"/>
          <w:rFonts w:hint="default"/>
        </w:rPr>
        <w:br w:type="textWrapping"/>
      </w:r>
      <w:r>
        <w:rPr>
          <w:rStyle w:val="18"/>
          <w:rFonts w:hint="default"/>
        </w:rPr>
        <w:t>5.1.4 远程桌面 171</w:t>
      </w:r>
      <w:r>
        <w:rPr>
          <w:rStyle w:val="18"/>
          <w:rFonts w:hint="default"/>
        </w:rPr>
        <w:br w:type="textWrapping"/>
      </w:r>
      <w:r>
        <w:rPr>
          <w:rStyle w:val="18"/>
          <w:rFonts w:hint="default"/>
        </w:rPr>
        <w:t>5.1.5 负载均衡 175</w:t>
      </w:r>
      <w:r>
        <w:rPr>
          <w:rStyle w:val="18"/>
          <w:rFonts w:hint="default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5.1.6 集群 177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5.1.7 容错计算 180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5.1.8 家目录漫游 184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5.1.9 租户隔离 186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5.1.10 统一身份认证 190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Style w:val="18"/>
          <w:rFonts w:hint="default"/>
        </w:rPr>
        <w:t>5.1.11 SOA 192</w:t>
      </w:r>
      <w:r>
        <w:rPr>
          <w:rStyle w:val="18"/>
          <w:rFonts w:hint="default"/>
        </w:rPr>
        <w:br w:type="textWrapping"/>
      </w:r>
      <w:r>
        <w:rPr>
          <w:rStyle w:val="18"/>
          <w:rFonts w:hint="default"/>
        </w:rPr>
        <w:t>5.1.12 微服务 198</w:t>
      </w:r>
      <w:r>
        <w:rPr>
          <w:rStyle w:val="18"/>
          <w:rFonts w:hint="default"/>
        </w:rPr>
        <w:br w:type="textWrapping"/>
      </w:r>
      <w:r>
        <w:rPr>
          <w:rStyle w:val="18"/>
          <w:rFonts w:hint="default"/>
        </w:rPr>
        <w:t>5.2 终端技术 198</w:t>
      </w:r>
      <w:r>
        <w:rPr>
          <w:rStyle w:val="18"/>
          <w:rFonts w:hint="default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5.2.1 终端分类 198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5.2.2 质量控制 201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5.2.3 终端项目 201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 通信协议 204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“云”应用 242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 企业私有办公云 243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 园区云 244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 医疗云 246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 公民档案云 247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 卫生保健云 248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7.6 教育云 248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7.7 交通云 250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7.8 出行云 251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7.9 购物云 251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7.10 农村农业云 252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7.11 高性能计算云 253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7.12 人工智能云 253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“云”方案 255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 小型方案 257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8.1.1 需求分析 257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8.1.2 系统设计 257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8.1.3 硬件选型 261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8.1.4 软件选型 266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8.1.5 部署与运维 267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 中型方案 270</w:t>
      </w:r>
    </w:p>
    <w:p>
      <w:pPr>
        <w:pStyle w:val="2"/>
      </w:pPr>
      <w:bookmarkStart w:id="4" w:name="_Toc3263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 3 章?云计算及大数据开源软件概览 65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3.1?OpenStack概述 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3.2?容器开源软件：Kubernetes / Mesos / Docker 72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3.3?大数据开源软件：Hadoop/Spark 73</w:t>
      </w:r>
      <w:bookmarkEnd w:id="4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 6 章?分布式软件定义存储概述 128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6.1?分布式软件定义存储  129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6.2?支持企业关键应用的软件定义块存储 135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6.3?传统存储SAN/NAS的管理整合及性能加速 142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6.4?分布式对象存储 143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6.5?面向云存储服务的QoS/SLA管理 148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6.6?分布式软件定义存储的Erasure Code，分布式重删压缩 149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 11 章?企业桌面云接入的关键技术架构与应用 235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11.1?桌面云接入概述 236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11.2?桌面云接入的架构 239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11.3?桌面云接入的典型应用 239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11.4?桌面云接入的关键技术 244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11.5?面向多租户的企业桌面公有云服务 252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11.6?终端无关的移动办公接入 254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5" w:name="_Toc11284"/>
      <w:r>
        <w:t>第 13 章?云微服务敏捷治理架构与组织流程 275</w:t>
      </w:r>
      <w:bookmarkEnd w:id="5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13.1?从瀑布式到敏捷式，从服务到微服务 276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13.2?微服务的治理架构 278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13.3?支撑敏捷开发与上线的微服务CI/CD工具链 286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13.4?面向微服务的DevOps研发运维组织变革 288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 14 章?云安全架构与应用实践 290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14.1?端到端云安全架构 291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14.2?可信计算TPM/vTPM 294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14.3?虚拟机的安全隔离 298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14.4?虚拟化环境中的网络安全 300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14.5?云数据安全 301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14.6?公有云、私有云的安全组 303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14.7?云安全管理 304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14.8?安全即服务 306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14.9?云安全应用实施案例 306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14.10?云计算安全的其他考虑 307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14.11?云计算服务法律风险及其应对 308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6" w:name="_Toc29523"/>
      <w:r>
        <w:t>云使能技术</w:t>
      </w:r>
      <w:bookmarkEnd w:id="6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7" w:name="_Toc23054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　宽带网络和Internet架构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5.1.1　Internet服务提供者（ISP）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5.1.2　无连接分组交换（数据报网络）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5.1.3　基于路由器的互联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5.1.4　技术和商业考量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　数据中心技术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5.2.1　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5.2.2　标准化与模块化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5.2.3　自动化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5.2.4　远程操作与管理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5.2.5　高可用性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5.2.6　安全感知的设计、操作和管理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5.2.7　配套设施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5.2.8　计算硬件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5.2.9　存储硬件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5.2.10　网络硬件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5.2.11　其他考量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7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</w:t>
      </w:r>
    </w:p>
    <w:p>
      <w:pPr>
        <w:pStyle w:val="3"/>
        <w:rPr>
          <w:rFonts w:hint="default"/>
        </w:rPr>
      </w:pPr>
      <w:bookmarkStart w:id="8" w:name="_Toc11238"/>
      <w:r>
        <w:rPr>
          <w:rFonts w:hint="default"/>
        </w:rPr>
        <w:t>5.3　虚拟化技术</w:t>
      </w:r>
      <w:bookmarkEnd w:id="8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5.3.1　硬件无关性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5.3.2　服务器整合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5.3.3　资源复制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5.3.4　基于操作系统的虚拟化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5.3.5　基于硬件的虚拟化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5.3.6　虚拟化管理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5.3.7　其他考量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</w:t>
      </w:r>
    </w:p>
    <w:p>
      <w:pPr>
        <w:pStyle w:val="3"/>
        <w:rPr>
          <w:rFonts w:hint="default"/>
        </w:rPr>
      </w:pPr>
      <w:bookmarkStart w:id="9" w:name="_Toc12791"/>
      <w:r>
        <w:rPr>
          <w:rFonts w:hint="default"/>
        </w:rPr>
        <w:t>5.4　Web技术</w:t>
      </w:r>
      <w:bookmarkEnd w:id="9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5.4.1　基本Web技术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5.4.2　Web应用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5.5　多租户技术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</w:t>
      </w:r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0" w:name="_Toc17383"/>
      <w:r>
        <w:rPr>
          <w:rFonts w:hint="default"/>
        </w:rPr>
        <w:t>5.6　服务技术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5.6.1　Web服务　　5.6.2　REST服务　　5.6.3　服务代理　　5.6.4　服务中间件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0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</w:t>
      </w:r>
      <w:bookmarkStart w:id="11" w:name="_Toc7385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基本云安全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　基本术语和概念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　保密性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6.1.2　完整性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6.1.3　真实性</w:t>
      </w:r>
      <w:bookmarkEnd w:id="11"/>
    </w:p>
    <w:p>
      <w:pPr>
        <w:widowControl w:val="0"/>
        <w:numPr>
          <w:ilvl w:val="0"/>
          <w:numId w:val="3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云安全机制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10.1　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10.1.1　对称加密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10.1.2　非对称加密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10.2　哈希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10.3　数字签名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10.4　公钥基础设施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10.5　身份与访问管理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10.6　单一登录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10.7　基于云的安全组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10.8　强化的虚拟服务器映像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第三部分　云计算架构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第11章　基本云架构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11.1　负载分布架构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11.2　资源池架构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11.3　动态可扩展架构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11.4　弹性资源容量架构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11.5　服务负载均衡架构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11.6　云爆发架构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11.7　弹性磁盘供给架构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11.8　冗余存储架构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第12章　高级云架构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12.1　虚拟机监控器集群架构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12.2　负载均衡的虚拟服务器实例架构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12.3　不中断服务重定位架构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12.4　零宕机架构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12.5　云负载均衡架构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12.6　资源预留架构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12.7　动态故障检测与恢复架构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12.8　裸机供给架构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12.9　快速供给架构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12.10　存储负载管理架构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第13章　特殊云架构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13.1　直接I/O访问架构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13.2　直接LUN访问架构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13.3　动态数据规范化架构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13.4　弹性网络容量架构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13.5　跨存储设备垂直分层架构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13.6　存储设备内部垂直数据分层架构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13.7　负载均衡的虚拟交换机架构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13.8　多路径资源访问架构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13.9　持久虚拟网络配置架构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13.10　虚拟服务器的冗余物理连接架构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13.11　存储维护窗口架构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第四部分　使用云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第14章　云交付模型考量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14.1　云交付模型：从云提供者的角度看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14.1.1　构建IaaS</w:t>
      </w:r>
    </w:p>
    <w:p>
      <w:pPr>
        <w:pStyle w:val="2"/>
        <w:rPr>
          <w:rFonts w:hint="eastAsia"/>
          <w:lang w:val="en-US" w:eastAsia="zh-CN"/>
        </w:rPr>
      </w:pPr>
      <w:bookmarkStart w:id="12" w:name="_Toc13361"/>
      <w:r>
        <w:rPr>
          <w:rFonts w:hint="eastAsia"/>
          <w:lang w:val="en-US" w:eastAsia="zh-CN"/>
        </w:rPr>
        <w:t>Bomb云费用 50每月</w:t>
      </w:r>
      <w:bookmarkEnd w:id="1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10" w:beforeAutospacing="0" w:after="0" w:afterAutospacing="0" w:line="750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云函数续费</w:t>
      </w:r>
    </w:p>
    <w:p>
      <w:pPr>
        <w:pStyle w:val="16"/>
      </w:pPr>
      <w:r>
        <w:t>窗体顶端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云函数如需更高隔离性和运行资源，可购买云函数企业版 Pro 独立主机服务，请邮件联系 ritscher@bmob.cn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开通时长：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" w:right="-7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36"/>
          <w:szCs w:val="36"/>
          <w:bdr w:val="single" w:color="CCCCCC" w:sz="6" w:space="0"/>
          <w:shd w:val="clear" w:fill="FFFFFF"/>
          <w:lang w:val="en-US" w:eastAsia="zh-CN" w:bidi="ar"/>
        </w:rPr>
        <w:t>-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CCCCCC" w:sz="0" w:space="0"/>
          <w:shd w:val="clear" w:fill="FFFF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36"/>
          <w:szCs w:val="36"/>
          <w:bdr w:val="single" w:color="CCCCCC" w:sz="6" w:space="0"/>
          <w:shd w:val="clear" w:fill="FFFFF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pacing w:before="300" w:beforeAutospacing="0" w:after="226" w:afterAutospacing="0"/>
        <w:ind w:left="-226" w:right="-226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到期时间：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2018-03-19 10:22:42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支付金额：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226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3"/>
          <w:szCs w:val="33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　元 ( 50.00/月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微信支付 账户余额购买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inkCloud、太平洋电信臻云等为代表的第三阵营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5.8.14　以华为、中国电信、中国联通、中国移动、**、金山为代表的第四阵营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5.9　PaaS市场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5.10　对中国IaaS和PaaS市场的预测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5.11　SaaS与XaaS市场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5.12　寄语中国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技术--创新的引擎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6.1　虚拟化--不是新瓶装旧酒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　虚拟化简介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6.1.2　数据中心虚拟化和私有云不是等价的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6.1.3　对几种硬件虚拟化的比较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6.1.4　Type1和Type2之争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6.1.5　主流Hypervisor　ESXi　XEN　Hyper-V　KVM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6.1.6　半虚拟化驱动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6.1.7　动态内存和内存去重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6.1.8　存储与I/O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6.1.9　快照与迁移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6.1.10　硬件辅助虚拟化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6.1.11　虚拟化管理与私有云开源项目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6.2　PaaS平台--IT基础设施不再重要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6.3　DevOps--运维翻身仗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6.3.1　基础设施管理与监控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6.3.2　DevOps的诞生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6.3.3　DevOps的好处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6.3.4　如何实施DevOps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6.3.5　技术与工具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6.4　分布式存储和计算--大数据的基石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6.4.1　信息与数据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6.4.2　CAP理论和BASE理论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6.4.3　分布式文件系统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6.4.4　分布式对象存储系统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6.4.5　分布式块存储系统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6.4.6　分布式计算系统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6.5　虚拟网络和SDN--死水翻浪要变天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6.5.1　SDN简史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6.5.2　OpenFlow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6.5.3　SDN来了--有人欢呼有人恐惧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6.5.4　SDN开源项目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6.5.5　SDN两大组织ONF和OpenDaylight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6.6　NoSQL数据库--重点不是SQL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6.7　云计算架构实例--不是秘密的秘密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6.7.1　网络应用架构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6.7.2　亚马逊AWS　EC2架构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6.7.3　阿里云架构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6.7.4　IaaS块设备架构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第7章虚拟化技术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7.1虚拟化技术简介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7.2服务器虚拟化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7.2.1服务器虚拟化的层次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7.2.2服务器虚拟化的底层实现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7.2.3虚拟机迁移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7.2.4隔离技术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7.2.5案例分析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7.3存储虚拟化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7.3.1存储虚拟化的一般模型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7.3.2存储虚拟化的实现方式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7.3.3案例分析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7.4.1核心层网络虚拟化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7.4.2接入层网络虚拟化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7.4.3虚拟机网络虚拟化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……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第8章OpenStack开源虚拟化平台</w:t>
      </w:r>
    </w:p>
    <w:p>
      <w:pPr>
        <w:pStyle w:val="2"/>
        <w:rPr>
          <w:rFonts w:hint="default"/>
        </w:rPr>
      </w:pPr>
      <w:bookmarkStart w:id="13" w:name="_Toc23634"/>
      <w:r>
        <w:rPr>
          <w:rFonts w:hint="default"/>
        </w:rPr>
        <w:t>《云计算（第三版）》(刘鹏　主编)【简介_书评_在线阅读】 - 当当图书.mhtml</w:t>
      </w:r>
      <w:bookmarkEnd w:id="1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445: 第1章大数据与云计算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454: 第2章Google云计算原理与应用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510: 第3章Amazon云计算AWS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555: 第4章微软云计算WindowsAzure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582: 第5章Hadoop2.0：主流开源云架构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610: 第6章Hadoop2.0大家族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639: 第7章虚拟化技术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656: 第8章OpenStack开源虚拟化平台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657: 第9章云计算数据中心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658: 第10章云计算核心算法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659: 第11章中国云计算技术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660: 第12章总结与展望</w:t>
      </w:r>
    </w:p>
    <w:p>
      <w:pPr>
        <w:pStyle w:val="17"/>
      </w:pPr>
      <w:r>
        <w:t>窗体底端</w:t>
      </w:r>
    </w:p>
    <w:p>
      <w:pPr>
        <w:pStyle w:val="2"/>
        <w:rPr>
          <w:rFonts w:hint="eastAsia"/>
          <w:lang w:val="en-US" w:eastAsia="zh-CN"/>
        </w:rPr>
      </w:pPr>
      <w:bookmarkStart w:id="14" w:name="_Toc23399"/>
      <w:r>
        <w:rPr>
          <w:rFonts w:hint="eastAsia"/>
          <w:lang w:val="en-US" w:eastAsia="zh-CN"/>
        </w:rPr>
        <w:t>参考资料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《云计算通俗讲义（第二版）》(王良明　著)【简介_书评_在线阅读】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《云计算架构技术与实践(第2版)》(顾炯炯)【简介_书评_在线阅读】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《云计算：概念、技术与架构（畅销IT书籍作者Thomas Erl的又一力作！对云计算技术的详细解读，是你不可或缺的指导书）》(Thomas Erl)【简介_书评_在线阅读】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《云计算时代——本质、技术、创新、战略》(刘黎明)【简介_书评_在线阅读】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《移动云计算：架构、算法与应用》(【印】Debashis De)【简介_书评_在线阅读】 - 当当图书.mhtml  need to 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《中国云计算应用丛书--云计算概论：基础、技术、商务、应用（第二版）》(汤兵勇 主编)【简介_书评_在线阅读】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《云计算设计模式》([加]托马斯 厄尔)【简介_书评_在线阅读】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9976"/>
    <w:multiLevelType w:val="multilevel"/>
    <w:tmpl w:val="2F0F99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F752F4B"/>
    <w:multiLevelType w:val="singleLevel"/>
    <w:tmpl w:val="2F752F4B"/>
    <w:lvl w:ilvl="0" w:tentative="0">
      <w:start w:val="3"/>
      <w:numFmt w:val="decimal"/>
      <w:suff w:val="space"/>
      <w:lvlText w:val="第%1章"/>
      <w:lvlJc w:val="left"/>
    </w:lvl>
  </w:abstractNum>
  <w:abstractNum w:abstractNumId="2">
    <w:nsid w:val="6C8DF813"/>
    <w:multiLevelType w:val="singleLevel"/>
    <w:tmpl w:val="6C8DF813"/>
    <w:lvl w:ilvl="0" w:tentative="0">
      <w:start w:val="10"/>
      <w:numFmt w:val="decimal"/>
      <w:suff w:val="nothing"/>
      <w:lvlText w:val="第%1章　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B1287"/>
    <w:rsid w:val="026C5C5B"/>
    <w:rsid w:val="03560B5C"/>
    <w:rsid w:val="03563EF1"/>
    <w:rsid w:val="0B061FA8"/>
    <w:rsid w:val="17A84FE6"/>
    <w:rsid w:val="274722AE"/>
    <w:rsid w:val="27D11F49"/>
    <w:rsid w:val="2B3C6A9D"/>
    <w:rsid w:val="2F4E72D1"/>
    <w:rsid w:val="33157395"/>
    <w:rsid w:val="336068CE"/>
    <w:rsid w:val="359E0B6D"/>
    <w:rsid w:val="366D68C2"/>
    <w:rsid w:val="386D289A"/>
    <w:rsid w:val="389B1287"/>
    <w:rsid w:val="39875371"/>
    <w:rsid w:val="3CF56F10"/>
    <w:rsid w:val="3D1536A6"/>
    <w:rsid w:val="3F0842B0"/>
    <w:rsid w:val="43073831"/>
    <w:rsid w:val="433C2F11"/>
    <w:rsid w:val="43DA3705"/>
    <w:rsid w:val="46586EEF"/>
    <w:rsid w:val="49C369FD"/>
    <w:rsid w:val="4AC951DA"/>
    <w:rsid w:val="4E822F0E"/>
    <w:rsid w:val="501C7995"/>
    <w:rsid w:val="51DE41A6"/>
    <w:rsid w:val="5349158F"/>
    <w:rsid w:val="5D5A23BC"/>
    <w:rsid w:val="5FB92653"/>
    <w:rsid w:val="660C5AC6"/>
    <w:rsid w:val="666D7E87"/>
    <w:rsid w:val="6D593799"/>
    <w:rsid w:val="72CB3750"/>
    <w:rsid w:val="73CE2CB2"/>
    <w:rsid w:val="75366785"/>
    <w:rsid w:val="7FD96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2018-02-19T02:30:00Z</dcterms:created>
  <dc:creator>ATI老哇的爪子007</dc:creator>
  <cp:lastModifiedBy>ATI老哇的爪子007</cp:lastModifiedBy>
  <dcterms:modified xsi:type="dcterms:W3CDTF">2018-02-19T03:12:33Z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