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多条sql  拆开执行还是分开执行性能分析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分开执行  900ms  800ms</w:t>
      </w:r>
      <w:r>
        <w:tab/>
      </w:r>
      <w:r>
        <w:fldChar w:fldCharType="begin"/>
      </w:r>
      <w:r>
        <w:instrText xml:space="preserve"> PAGEREF _Toc6738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连接执行400--500ms</w:t>
      </w:r>
      <w:r>
        <w:tab/>
      </w:r>
      <w:r>
        <w:fldChar w:fldCharType="begin"/>
      </w:r>
      <w:r>
        <w:instrText xml:space="preserve"> PAGEREF _Toc26744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多线程执行  400ms</w:t>
      </w:r>
      <w:r>
        <w:tab/>
      </w:r>
      <w:r>
        <w:fldChar w:fldCharType="begin"/>
      </w:r>
      <w:r>
        <w:instrText xml:space="preserve"> PAGEREF _Toc28454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6738"/>
      <w:r>
        <w:rPr>
          <w:rFonts w:hint="eastAsia"/>
          <w:lang w:val="en-US" w:eastAsia="zh-CN"/>
        </w:rPr>
        <w:t>分开执行  900ms  800ms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splt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Connection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connection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SQLException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200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++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pk_s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RandomStringUtils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randomNumeric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9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sql11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"INSERT INTO VAF1(VAF01,vaa01,bda01)values(@pk@,1,1)"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 vaf01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pk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sql11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sql11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"@pk@"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pk_s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sdql2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insert into veh1 (vaf01)values(@pk@)"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sdql2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sdql2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"@pk@"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pk_s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sql3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 insert into vfa1 (vaf01)values(@pk@) 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sql3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sql3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"@pk@"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pk_s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Sql_join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sql11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";"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sdql2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";"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sql3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Statement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connection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createStatement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stt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executeUpdate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sql11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Statement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stt2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connection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createStatement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stt2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executeUpdate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sdql2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Statement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stt3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connection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createStatement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stt3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executeUpdate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sql3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6744"/>
      <w:r>
        <w:rPr>
          <w:rFonts w:hint="eastAsia"/>
          <w:lang w:val="en-US" w:eastAsia="zh-CN"/>
        </w:rPr>
        <w:t>连接执行400--500ms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8454"/>
      <w:r>
        <w:rPr>
          <w:rFonts w:hint="eastAsia"/>
          <w:lang w:val="en-US" w:eastAsia="zh-CN"/>
        </w:rPr>
        <w:t>多线程执行  400ms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1000个join执行  </w:t>
      </w:r>
      <w:r>
        <w:rPr>
          <w:rFonts w:hint="eastAsia" w:ascii="Consolas" w:hAnsi="Consolas" w:eastAsia="Consolas"/>
          <w:color w:val="C0C0C0"/>
          <w:sz w:val="24"/>
        </w:rPr>
        <w:t>1624ms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 1641ms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  Splt   </w:t>
      </w:r>
      <w:r>
        <w:rPr>
          <w:rFonts w:hint="eastAsia" w:ascii="Consolas" w:hAnsi="Consolas" w:eastAsia="Consolas"/>
          <w:color w:val="C0C0C0"/>
          <w:sz w:val="24"/>
        </w:rPr>
        <w:t>4138ms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Ftpool   </w:t>
      </w:r>
      <w:bookmarkStart w:id="3" w:name="_GoBack"/>
      <w:bookmarkEnd w:id="3"/>
      <w:r>
        <w:rPr>
          <w:rFonts w:hint="eastAsia" w:ascii="Consolas" w:hAnsi="Consolas" w:eastAsia="Consolas"/>
          <w:color w:val="C0C0C0"/>
          <w:sz w:val="24"/>
        </w:rPr>
        <w:t>2329ms</w:t>
      </w: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245C1"/>
    <w:rsid w:val="15B07EDE"/>
    <w:rsid w:val="29945D5D"/>
    <w:rsid w:val="29ED1CA7"/>
    <w:rsid w:val="2E5E4086"/>
    <w:rsid w:val="39150D86"/>
    <w:rsid w:val="3F9A4937"/>
    <w:rsid w:val="4A751180"/>
    <w:rsid w:val="55ED5C38"/>
    <w:rsid w:val="66846D98"/>
    <w:rsid w:val="6D535020"/>
    <w:rsid w:val="754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2018-04-23T07:23:00Z</dcterms:created>
  <dc:creator>ATI老哇的爪子007</dc:creator>
  <cp:lastModifiedBy>ATI老哇的爪子007</cp:lastModifiedBy>
  <dcterms:modified xsi:type="dcterms:W3CDTF">2018-04-23T08:03:22Z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