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软件开发体系法规大全v2.docx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软件开发体系大全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0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34" w:name="_GoBack"/>
          <w:bookmarkEnd w:id="3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基本法（类似宪法）</w:t>
          </w:r>
          <w:r>
            <w:tab/>
          </w:r>
          <w:r>
            <w:fldChar w:fldCharType="begin"/>
          </w:r>
          <w:r>
            <w:instrText xml:space="preserve"> PAGEREF _Toc27611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行政法 框架使用法 工具使用法</w:t>
          </w:r>
          <w:r>
            <w:tab/>
          </w:r>
          <w:r>
            <w:fldChar w:fldCharType="begin"/>
          </w:r>
          <w:r>
            <w:instrText xml:space="preserve"> PAGEREF _Toc27275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Vue使用用法</w:t>
          </w:r>
          <w:r>
            <w:tab/>
          </w:r>
          <w:r>
            <w:fldChar w:fldCharType="begin"/>
          </w:r>
          <w:r>
            <w:instrText xml:space="preserve"> PAGEREF _Toc18902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Pdo使用法</w:t>
          </w:r>
          <w:r>
            <w:tab/>
          </w:r>
          <w:r>
            <w:fldChar w:fldCharType="begin"/>
          </w:r>
          <w:r>
            <w:instrText xml:space="preserve"> PAGEREF _Toc12560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Git使用法</w:t>
          </w:r>
          <w:r>
            <w:tab/>
          </w:r>
          <w:r>
            <w:fldChar w:fldCharType="begin"/>
          </w:r>
          <w:r>
            <w:instrText xml:space="preserve"> PAGEREF _Toc26240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2.3.1. </w:t>
          </w:r>
          <w:r>
            <w:rPr>
              <w:rFonts w:hint="eastAsia"/>
              <w:lang w:val="en-US" w:eastAsia="zh-CN"/>
            </w:rPr>
            <w:t>Atitit git删除大文件法</w:t>
          </w:r>
          <w:r>
            <w:tab/>
          </w:r>
          <w:r>
            <w:fldChar w:fldCharType="begin"/>
          </w:r>
          <w:r>
            <w:instrText xml:space="preserve"> PAGEREF _Toc21898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Jqury使用法</w:t>
          </w:r>
          <w:r>
            <w:tab/>
          </w:r>
          <w:r>
            <w:fldChar w:fldCharType="begin"/>
          </w:r>
          <w:r>
            <w:instrText xml:space="preserve"> PAGEREF _Toc10316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Layui使用法</w:t>
          </w:r>
          <w:r>
            <w:tab/>
          </w:r>
          <w:r>
            <w:fldChar w:fldCharType="begin"/>
          </w:r>
          <w:r>
            <w:instrText xml:space="preserve"> PAGEREF _Toc9879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Phop法</w:t>
          </w:r>
          <w:r>
            <w:tab/>
          </w:r>
          <w:r>
            <w:fldChar w:fldCharType="begin"/>
          </w:r>
          <w:r>
            <w:instrText xml:space="preserve"> PAGEREF _Toc1396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流程法民商法</w:t>
          </w:r>
          <w:r>
            <w:tab/>
          </w:r>
          <w:r>
            <w:fldChar w:fldCharType="begin"/>
          </w:r>
          <w:r>
            <w:instrText xml:space="preserve"> PAGEREF _Toc25427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数据类型规范法</w:t>
          </w:r>
          <w:r>
            <w:tab/>
          </w:r>
          <w:r>
            <w:fldChar w:fldCharType="begin"/>
          </w:r>
          <w:r>
            <w:instrText xml:space="preserve"> PAGEREF _Toc837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Ui提升法</w:t>
          </w:r>
          <w:r>
            <w:tab/>
          </w:r>
          <w:r>
            <w:fldChar w:fldCharType="begin"/>
          </w:r>
          <w:r>
            <w:instrText xml:space="preserve"> PAGEREF _Toc15344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Atitit 数据与模板绑定法</w:t>
          </w:r>
          <w:r>
            <w:tab/>
          </w:r>
          <w:r>
            <w:fldChar w:fldCharType="begin"/>
          </w:r>
          <w:r>
            <w:instrText xml:space="preserve"> PAGEREF _Toc14555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3.2.2. </w:t>
          </w:r>
          <w:r>
            <w:rPr>
              <w:rFonts w:hint="eastAsia"/>
              <w:lang w:val="en-US" w:eastAsia="zh-CN"/>
            </w:rPr>
            <w:t>数据表格绑定法</w:t>
          </w:r>
          <w:r>
            <w:tab/>
          </w:r>
          <w:r>
            <w:fldChar w:fldCharType="begin"/>
          </w:r>
          <w:r>
            <w:instrText xml:space="preserve"> PAGEREF _Toc15367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功能开发法</w:t>
          </w:r>
          <w:r>
            <w:tab/>
          </w:r>
          <w:r>
            <w:fldChar w:fldCharType="begin"/>
          </w:r>
          <w:r>
            <w:instrText xml:space="preserve"> PAGEREF _Toc14510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可读性提升法</w:t>
          </w:r>
          <w:r>
            <w:tab/>
          </w:r>
          <w:r>
            <w:fldChar w:fldCharType="begin"/>
          </w:r>
          <w:r>
            <w:instrText xml:space="preserve"> PAGEREF _Toc5223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性能提升法</w:t>
          </w:r>
          <w:r>
            <w:tab/>
          </w:r>
          <w:r>
            <w:fldChar w:fldCharType="begin"/>
          </w:r>
          <w:r>
            <w:instrText xml:space="preserve"> PAGEREF _Toc8097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对外接口提供法</w:t>
          </w:r>
          <w:r>
            <w:tab/>
          </w:r>
          <w:r>
            <w:fldChar w:fldCharType="begin"/>
          </w:r>
          <w:r>
            <w:instrText xml:space="preserve"> PAGEREF _Toc10353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可用性提升法操作性</w:t>
          </w:r>
          <w:r>
            <w:tab/>
          </w:r>
          <w:r>
            <w:fldChar w:fldCharType="begin"/>
          </w:r>
          <w:r>
            <w:instrText xml:space="preserve"> PAGEREF _Toc15732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可扩展性 维护性提升法</w:t>
          </w:r>
          <w:r>
            <w:tab/>
          </w:r>
          <w:r>
            <w:fldChar w:fldCharType="begin"/>
          </w:r>
          <w:r>
            <w:instrText xml:space="preserve"> PAGEREF _Toc9028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调试法</w:t>
          </w:r>
          <w:r>
            <w:tab/>
          </w:r>
          <w:r>
            <w:fldChar w:fldCharType="begin"/>
          </w:r>
          <w:r>
            <w:instrText xml:space="preserve"> PAGEREF _Toc10686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重构法</w:t>
          </w:r>
          <w:r>
            <w:tab/>
          </w:r>
          <w:r>
            <w:fldChar w:fldCharType="begin"/>
          </w:r>
          <w:r>
            <w:instrText xml:space="preserve"> PAGEREF _Toc15165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Sin法（安全法）</w:t>
          </w:r>
          <w:r>
            <w:tab/>
          </w:r>
          <w:r>
            <w:fldChar w:fldCharType="begin"/>
          </w:r>
          <w:r>
            <w:instrText xml:space="preserve"> PAGEREF _Toc29161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Ui安全法</w:t>
          </w:r>
          <w:r>
            <w:tab/>
          </w:r>
          <w:r>
            <w:fldChar w:fldCharType="begin"/>
          </w:r>
          <w:r>
            <w:instrText xml:space="preserve"> PAGEREF _Toc16031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Atitit 事务使用法</w:t>
          </w:r>
          <w:r>
            <w:tab/>
          </w:r>
          <w:r>
            <w:fldChar w:fldCharType="begin"/>
          </w:r>
          <w:r>
            <w:instrText xml:space="preserve"> PAGEREF _Toc12217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Sql安全法</w:t>
          </w:r>
          <w:r>
            <w:tab/>
          </w:r>
          <w:r>
            <w:fldChar w:fldCharType="begin"/>
          </w:r>
          <w:r>
            <w:instrText xml:space="preserve"> PAGEREF _Toc6756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Atitit 数据安全法</w:t>
          </w:r>
          <w:r>
            <w:tab/>
          </w:r>
          <w:r>
            <w:fldChar w:fldCharType="begin"/>
          </w:r>
          <w:r>
            <w:instrText xml:space="preserve"> PAGEREF _Toc5482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后台admin安全法</w:t>
          </w:r>
          <w:r>
            <w:tab/>
          </w:r>
          <w:r>
            <w:fldChar w:fldCharType="begin"/>
          </w:r>
          <w:r>
            <w:instrText xml:space="preserve"> PAGEREF _Toc21622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反模式罪名一览表</w:t>
          </w:r>
          <w:r>
            <w:tab/>
          </w:r>
          <w:r>
            <w:fldChar w:fldCharType="begin"/>
          </w:r>
          <w:r>
            <w:instrText xml:space="preserve"> PAGEREF _Toc9067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可读性提升法</w:t>
          </w:r>
          <w:r>
            <w:tab/>
          </w:r>
          <w:r>
            <w:fldChar w:fldCharType="begin"/>
          </w:r>
          <w:r>
            <w:instrText xml:space="preserve"> PAGEREF _Toc31979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szCs w:val="18"/>
              <w:shd w:val="clear" w:fill="F5F6F7"/>
              <w:lang w:val="en-US" w:eastAsia="zh-CN"/>
            </w:rPr>
            <w:t>U</w:t>
          </w:r>
          <w:r>
            <w:rPr>
              <w:rFonts w:hint="eastAsia"/>
              <w:lang w:val="en-US" w:eastAsia="zh-CN"/>
            </w:rPr>
            <w:t>i法</w:t>
          </w:r>
          <w:r>
            <w:tab/>
          </w:r>
          <w:r>
            <w:fldChar w:fldCharType="begin"/>
          </w:r>
          <w:r>
            <w:instrText xml:space="preserve"> PAGEREF _Toc7487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架构法</w:t>
          </w:r>
          <w:r>
            <w:tab/>
          </w:r>
          <w:r>
            <w:fldChar w:fldCharType="begin"/>
          </w:r>
          <w:r>
            <w:instrText xml:space="preserve"> PAGEREF _Toc30205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  <w:bdr w:val="none" w:color="auto" w:sz="0" w:space="0"/>
              <w:shd w:val="clear" w:fill="F5F6F7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数据库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5F6F7"/>
              <w:lang w:val="en-US" w:eastAsia="zh-CN"/>
            </w:rPr>
            <w:t>法</w:t>
          </w:r>
          <w:r>
            <w:tab/>
          </w:r>
          <w:r>
            <w:fldChar w:fldCharType="begin"/>
          </w:r>
          <w:r>
            <w:instrText xml:space="preserve"> PAGEREF _Toc15878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_Toc12493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611"/>
      <w:r>
        <w:rPr>
          <w:rFonts w:hint="eastAsia"/>
          <w:lang w:val="en-US" w:eastAsia="zh-CN"/>
        </w:rPr>
        <w:t>基本法（类似宪法）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Atitit.软件开发的几大规则，法则，与原则。。。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设计模式六大原则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 设计模式六大原则（1）：单一职责原则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 设计模式六大原则（2）：里氏替换原则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 设计模式六大原则（3）：依赖倒置原则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 设计模式六大原则（4）：接口隔离原则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 设计模式六大原则（5）：迪米特法则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 设计模式六大原则（6）：开闭原则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面向对象的S.O.L.I.D原则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 Single Responsibility Principle (SRP)–职责单一原则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 Open/Closed Principle (OCP)–开闭原则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 Liskov substitution principle (LSP)–里氏代换原则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 Interface Segregation Principle (ISP)–接口隔离原则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 Dependency Inversion Principle(DIP)–依赖倒置原则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Other原则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 Don’t Repeat Yourself(DRY)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 Keep It Simple, Stupid (KISS)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 Program to an interface, not an implementation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 Command-Query Separation (CQS)–命令-查询分离原则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 You Ain’t Gonna Need It(YAGNI)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 Common Closure Principle（CCP）–共同封闭原则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 Common Reuse Principle (CRP)–共同重用原则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 Hollywood Principle–好莱坞原则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 High Cohesion &amp; Low/Loose coupling &amp; –高内聚，低耦合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 Convention over Configuration（CoC）–惯例优于配置原则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 Separation of Concerns (SoC)–关注点分离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 Design by Contract (DbC)–契约式设计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 Acyclic Dependencies Principle (ADP)–无环依赖原则 5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27275"/>
      <w:r>
        <w:rPr>
          <w:rFonts w:hint="eastAsia"/>
          <w:lang w:val="en-US" w:eastAsia="zh-CN"/>
        </w:rPr>
        <w:t>行政法 框架使用法 工具使用法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902"/>
      <w:r>
        <w:rPr>
          <w:rFonts w:hint="eastAsia"/>
          <w:lang w:val="en-US" w:eastAsia="zh-CN"/>
        </w:rPr>
        <w:t>Vue使用用法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560"/>
      <w:r>
        <w:rPr>
          <w:rFonts w:hint="eastAsia"/>
          <w:lang w:val="en-US" w:eastAsia="zh-CN"/>
        </w:rPr>
        <w:t>Pdo使用法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240"/>
      <w:r>
        <w:rPr>
          <w:rFonts w:hint="eastAsia"/>
          <w:lang w:val="en-US" w:eastAsia="zh-CN"/>
        </w:rPr>
        <w:t>Git使用法</w:t>
      </w:r>
      <w:bookmarkEnd w:id="4"/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1898"/>
      <w:r>
        <w:rPr>
          <w:rFonts w:hint="eastAsia"/>
          <w:lang w:val="en-US" w:eastAsia="zh-CN"/>
        </w:rPr>
        <w:t>Atitit git删除大文件法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316"/>
      <w:r>
        <w:rPr>
          <w:rFonts w:hint="eastAsia"/>
          <w:lang w:val="en-US" w:eastAsia="zh-CN"/>
        </w:rPr>
        <w:t>Jqury使用法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9879"/>
      <w:r>
        <w:rPr>
          <w:rFonts w:hint="eastAsia"/>
          <w:lang w:val="en-US" w:eastAsia="zh-CN"/>
        </w:rPr>
        <w:t>Layui使用法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96"/>
      <w:r>
        <w:rPr>
          <w:rFonts w:hint="eastAsia"/>
          <w:lang w:val="en-US" w:eastAsia="zh-CN"/>
        </w:rPr>
        <w:t>Phop法</w:t>
      </w:r>
      <w:bookmarkEnd w:id="8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9" w:name="_Toc25427"/>
      <w:r>
        <w:rPr>
          <w:rFonts w:hint="eastAsia"/>
          <w:lang w:val="en-US" w:eastAsia="zh-CN"/>
        </w:rPr>
        <w:t>流程法民商法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837"/>
      <w:r>
        <w:rPr>
          <w:rFonts w:hint="eastAsia"/>
          <w:lang w:val="en-US" w:eastAsia="zh-CN"/>
        </w:rPr>
        <w:t>数据类型规范法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5344"/>
      <w:r>
        <w:rPr>
          <w:rFonts w:hint="eastAsia"/>
          <w:lang w:val="en-US" w:eastAsia="zh-CN"/>
        </w:rPr>
        <w:t>Ui提升法</w:t>
      </w:r>
      <w:bookmarkEnd w:id="11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4555"/>
      <w:r>
        <w:rPr>
          <w:rFonts w:hint="eastAsia"/>
          <w:lang w:val="en-US" w:eastAsia="zh-CN"/>
        </w:rPr>
        <w:t>Atitit 数据与模板绑定法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5367"/>
      <w:r>
        <w:rPr>
          <w:rFonts w:hint="eastAsia"/>
          <w:lang w:val="en-US" w:eastAsia="zh-CN"/>
        </w:rPr>
        <w:t>数据表格绑定法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4510"/>
      <w:r>
        <w:rPr>
          <w:rFonts w:hint="eastAsia"/>
          <w:lang w:val="en-US" w:eastAsia="zh-CN"/>
        </w:rPr>
        <w:t>功能开发法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5223"/>
      <w:r>
        <w:rPr>
          <w:rFonts w:hint="eastAsia"/>
          <w:lang w:val="en-US" w:eastAsia="zh-CN"/>
        </w:rPr>
        <w:t>可读性提升法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8097"/>
      <w:r>
        <w:rPr>
          <w:rFonts w:hint="eastAsia"/>
          <w:lang w:val="en-US" w:eastAsia="zh-CN"/>
        </w:rPr>
        <w:t>性能提升法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0353"/>
      <w:r>
        <w:rPr>
          <w:rFonts w:hint="eastAsia"/>
          <w:lang w:val="en-US" w:eastAsia="zh-CN"/>
        </w:rPr>
        <w:t>对外接口提供法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5732"/>
      <w:r>
        <w:rPr>
          <w:rFonts w:hint="eastAsia"/>
          <w:lang w:val="en-US" w:eastAsia="zh-CN"/>
        </w:rPr>
        <w:t>可用性提升法操作性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9028"/>
      <w:r>
        <w:rPr>
          <w:rFonts w:hint="eastAsia"/>
          <w:lang w:val="en-US" w:eastAsia="zh-CN"/>
        </w:rPr>
        <w:t>可扩展性 维护性提升法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0686"/>
      <w:r>
        <w:rPr>
          <w:rFonts w:hint="eastAsia"/>
          <w:lang w:val="en-US" w:eastAsia="zh-CN"/>
        </w:rPr>
        <w:t>调试法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5165"/>
      <w:r>
        <w:rPr>
          <w:rFonts w:hint="eastAsia"/>
          <w:lang w:val="en-US" w:eastAsia="zh-CN"/>
        </w:rPr>
        <w:t>重构法</w:t>
      </w:r>
      <w:bookmarkEnd w:id="21"/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29161"/>
      <w:r>
        <w:rPr>
          <w:rFonts w:hint="eastAsia"/>
          <w:lang w:val="en-US" w:eastAsia="zh-CN"/>
        </w:rPr>
        <w:t>Sin法（安全法）</w:t>
      </w:r>
      <w:bookmarkEnd w:id="22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6031"/>
      <w:r>
        <w:rPr>
          <w:rFonts w:hint="eastAsia"/>
          <w:lang w:val="en-US" w:eastAsia="zh-CN"/>
        </w:rPr>
        <w:t>Ui安全法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2217"/>
      <w:r>
        <w:rPr>
          <w:rFonts w:hint="eastAsia"/>
          <w:lang w:val="en-US" w:eastAsia="zh-CN"/>
        </w:rPr>
        <w:t>Atitit 事务使用法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6756"/>
      <w:r>
        <w:rPr>
          <w:rFonts w:hint="eastAsia"/>
          <w:lang w:val="en-US" w:eastAsia="zh-CN"/>
        </w:rPr>
        <w:t>Sql安全法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5482"/>
      <w:r>
        <w:rPr>
          <w:rFonts w:hint="eastAsia"/>
          <w:lang w:val="en-US" w:eastAsia="zh-CN"/>
        </w:rPr>
        <w:t>Atitit 数据安全法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1622"/>
      <w:r>
        <w:rPr>
          <w:rFonts w:hint="eastAsia"/>
          <w:lang w:val="en-US" w:eastAsia="zh-CN"/>
        </w:rPr>
        <w:t>后台admin安全法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9067"/>
      <w:r>
        <w:rPr>
          <w:rFonts w:hint="eastAsia"/>
          <w:lang w:val="en-US" w:eastAsia="zh-CN"/>
        </w:rPr>
        <w:t>反模式罪名一览表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5F6F7"/>
        </w:rPr>
      </w:pPr>
      <w:r>
        <w:rPr>
          <w:rFonts w:ascii="微软雅黑" w:hAnsi="微软雅黑" w:eastAsia="微软雅黑" w:cs="微软雅黑"/>
          <w:b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5F6F7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5F6F7"/>
        </w:rPr>
        <w:instrText xml:space="preserve"> HYPERLINK "https://blog.csdn.net/attilax/article/details/103550541" \t "https://blog.csdn.net/_blank" </w:instrText>
      </w:r>
      <w:r>
        <w:rPr>
          <w:rFonts w:ascii="微软雅黑" w:hAnsi="微软雅黑" w:eastAsia="微软雅黑" w:cs="微软雅黑"/>
          <w:b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5F6F7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CA0C16"/>
          <w:spacing w:val="0"/>
          <w:sz w:val="12"/>
          <w:szCs w:val="12"/>
          <w:u w:val="none"/>
          <w:bdr w:val="none" w:color="auto" w:sz="0" w:space="0"/>
          <w:shd w:val="clear" w:fill="F9ECEC"/>
        </w:rPr>
        <w:t>原创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5F6F7"/>
        </w:rPr>
        <w:t> Atitit 反模式 黑名单 异常处理 反模式（antipatterns） 目录 1.1. 记录并抛出（log and throw） 1 1.2. 抛出异常基类（Throwing Excepti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5F6F7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5F6F7"/>
        </w:rPr>
      </w:pPr>
    </w:p>
    <w:p>
      <w:pPr>
        <w:pStyle w:val="2"/>
        <w:bidi w:val="0"/>
        <w:rPr>
          <w:rFonts w:hint="eastAsia"/>
        </w:rPr>
      </w:pPr>
      <w:bookmarkStart w:id="29" w:name="_Toc31979"/>
      <w:r>
        <w:rPr>
          <w:rFonts w:hint="eastAsia"/>
          <w:lang w:val="en-US" w:eastAsia="zh-CN"/>
        </w:rPr>
        <w:t>可读性提升法</w:t>
      </w:r>
      <w:bookmarkEnd w:id="29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5F6F7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7487"/>
      <w:r>
        <w:rPr>
          <w:rFonts w:hint="eastAsia" w:ascii="微软雅黑" w:hAnsi="微软雅黑" w:eastAsia="微软雅黑" w:cs="微软雅黑"/>
          <w:b/>
          <w:i w:val="0"/>
          <w:color w:val="CA0C16"/>
          <w:spacing w:val="0"/>
          <w:szCs w:val="18"/>
          <w:u w:val="none"/>
          <w:bdr w:val="none" w:color="auto" w:sz="0" w:space="0"/>
          <w:shd w:val="clear" w:fill="F5F6F7"/>
          <w:lang w:val="en-US" w:eastAsia="zh-CN"/>
        </w:rPr>
        <w:t>U</w:t>
      </w:r>
      <w:r>
        <w:rPr>
          <w:rFonts w:hint="eastAsia"/>
          <w:lang w:val="en-US" w:eastAsia="zh-CN"/>
        </w:rPr>
        <w:t>i法</w:t>
      </w:r>
      <w:bookmarkEnd w:id="30"/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30205"/>
      <w:r>
        <w:rPr>
          <w:rFonts w:hint="eastAsia"/>
          <w:lang w:val="en-US" w:eastAsia="zh-CN"/>
        </w:rPr>
        <w:t>架构法</w:t>
      </w:r>
      <w:bookmarkEnd w:id="31"/>
    </w:p>
    <w:p>
      <w:pPr>
        <w:pStyle w:val="2"/>
        <w:bidi w:val="0"/>
        <w:rPr>
          <w:rFonts w:hint="default" w:ascii="微软雅黑" w:hAnsi="微软雅黑" w:eastAsia="微软雅黑" w:cs="微软雅黑"/>
          <w:b/>
          <w:i w:val="0"/>
          <w:caps w:val="0"/>
          <w:color w:val="CA0C16"/>
          <w:spacing w:val="0"/>
          <w:szCs w:val="18"/>
          <w:u w:val="none"/>
          <w:bdr w:val="none" w:color="auto" w:sz="0" w:space="0"/>
          <w:shd w:val="clear" w:fill="F5F6F7"/>
          <w:lang w:val="en-US" w:eastAsia="zh-CN"/>
        </w:rPr>
      </w:pPr>
      <w:bookmarkStart w:id="32" w:name="_Toc15878"/>
      <w:r>
        <w:rPr>
          <w:rFonts w:hint="eastAsia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A0C16"/>
          <w:spacing w:val="0"/>
          <w:szCs w:val="18"/>
          <w:u w:val="none"/>
          <w:bdr w:val="none" w:color="auto" w:sz="0" w:space="0"/>
          <w:shd w:val="clear" w:fill="F5F6F7"/>
          <w:lang w:val="en-US" w:eastAsia="zh-CN"/>
        </w:rPr>
        <w:t>法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12493"/>
      <w:r>
        <w:rPr>
          <w:rFonts w:hint="eastAsia"/>
          <w:lang w:val="en-US" w:eastAsia="zh-CN"/>
        </w:rPr>
        <w:t>Ref</w:t>
      </w:r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软件开发基本法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非功能性需求_百度百科.html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F3793D"/>
    <w:multiLevelType w:val="multilevel"/>
    <w:tmpl w:val="ECF3793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06D19"/>
    <w:rsid w:val="04A90120"/>
    <w:rsid w:val="05836D7A"/>
    <w:rsid w:val="0D102B89"/>
    <w:rsid w:val="11E5659E"/>
    <w:rsid w:val="12D06D19"/>
    <w:rsid w:val="12F151D7"/>
    <w:rsid w:val="137E4EC7"/>
    <w:rsid w:val="169A6840"/>
    <w:rsid w:val="18667DC5"/>
    <w:rsid w:val="19C968F7"/>
    <w:rsid w:val="1A1B7ED5"/>
    <w:rsid w:val="1AC57D15"/>
    <w:rsid w:val="1DF6289A"/>
    <w:rsid w:val="1F1F0EAF"/>
    <w:rsid w:val="20C01274"/>
    <w:rsid w:val="21491B9C"/>
    <w:rsid w:val="25C53C50"/>
    <w:rsid w:val="26912729"/>
    <w:rsid w:val="28452F5D"/>
    <w:rsid w:val="28DD70F6"/>
    <w:rsid w:val="290254A7"/>
    <w:rsid w:val="2BA45888"/>
    <w:rsid w:val="2BD26B32"/>
    <w:rsid w:val="2C0D5A9E"/>
    <w:rsid w:val="2C224787"/>
    <w:rsid w:val="2C792ABC"/>
    <w:rsid w:val="2CA810C7"/>
    <w:rsid w:val="2DD70076"/>
    <w:rsid w:val="2E8E22E1"/>
    <w:rsid w:val="303853F6"/>
    <w:rsid w:val="32AF3CF2"/>
    <w:rsid w:val="32F0401C"/>
    <w:rsid w:val="3437380D"/>
    <w:rsid w:val="37773364"/>
    <w:rsid w:val="37CD048B"/>
    <w:rsid w:val="3BDB34F0"/>
    <w:rsid w:val="3E380C06"/>
    <w:rsid w:val="3ED83435"/>
    <w:rsid w:val="48580FEC"/>
    <w:rsid w:val="4A86496E"/>
    <w:rsid w:val="4F0D4F75"/>
    <w:rsid w:val="4FFA436A"/>
    <w:rsid w:val="50C271E8"/>
    <w:rsid w:val="50DD41A3"/>
    <w:rsid w:val="52C82535"/>
    <w:rsid w:val="560468C4"/>
    <w:rsid w:val="56674FA9"/>
    <w:rsid w:val="56782559"/>
    <w:rsid w:val="5B386EA3"/>
    <w:rsid w:val="5BE47231"/>
    <w:rsid w:val="60300F7D"/>
    <w:rsid w:val="60776651"/>
    <w:rsid w:val="60EA1C77"/>
    <w:rsid w:val="63BB4CD5"/>
    <w:rsid w:val="650710B6"/>
    <w:rsid w:val="65634157"/>
    <w:rsid w:val="69943196"/>
    <w:rsid w:val="69CB1611"/>
    <w:rsid w:val="6CF969C0"/>
    <w:rsid w:val="6DBE29AA"/>
    <w:rsid w:val="6F5C2E07"/>
    <w:rsid w:val="6FCF32CA"/>
    <w:rsid w:val="704B52A1"/>
    <w:rsid w:val="72BD36F1"/>
    <w:rsid w:val="77AA507F"/>
    <w:rsid w:val="7AC034E8"/>
    <w:rsid w:val="7D4332D4"/>
    <w:rsid w:val="7EA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2019-12-16T16:58:00Z</dcterms:created>
  <dc:creator>ATI老哇的爪子007</dc:creator>
  <cp:lastModifiedBy>ATI老哇的爪子007</cp:lastModifiedBy>
  <dcterms:modified xsi:type="dcterms:W3CDTF">2019-12-20T08:42:33Z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