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人员评价能力模型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1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深度、大局观、</w:t>
          </w:r>
          <w:r>
            <w:tab/>
          </w:r>
          <w:r>
            <w:fldChar w:fldCharType="begin"/>
          </w:r>
          <w:r>
            <w:instrText xml:space="preserve"> PAGEREF _Toc5982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1.2.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4"/>
              <w:shd w:val="clear" w:fill="FFFFFF"/>
            </w:rPr>
            <w:t>影响力，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影响力  分享</w:t>
          </w:r>
          <w:r>
            <w:tab/>
          </w:r>
          <w:r>
            <w:fldChar w:fldCharType="begin"/>
          </w:r>
          <w:r>
            <w:instrText xml:space="preserve"> PAGEREF _Toc32241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业务洞察力</w:t>
          </w:r>
          <w:r>
            <w:rPr>
              <w:rFonts w:hint="eastAsia"/>
              <w:lang w:val="en-US" w:eastAsia="zh-CN"/>
            </w:rPr>
            <w:t xml:space="preserve">  </w:t>
          </w:r>
          <w:r>
            <w:t>价值识别</w:t>
          </w:r>
          <w:r>
            <w:tab/>
          </w:r>
          <w:r>
            <w:fldChar w:fldCharType="begin"/>
          </w:r>
          <w:r>
            <w:instrText xml:space="preserve"> PAGEREF _Toc8213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视野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  <w:shd w:val="clear" w:fill="FFFFFF"/>
            </w:rPr>
            <w:t>战略和人才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  <w:shd w:val="clear" w:fill="FFFFFF"/>
            </w:rPr>
            <w:t>专业</w:t>
          </w:r>
          <w:r>
            <w:tab/>
          </w:r>
          <w:r>
            <w:fldChar w:fldCharType="begin"/>
          </w:r>
          <w:r>
            <w:instrText xml:space="preserve"> PAGEREF _Toc1601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和原创力，</w:t>
          </w:r>
          <w:r>
            <w:tab/>
          </w:r>
          <w:r>
            <w:fldChar w:fldCharType="begin"/>
          </w:r>
          <w:r>
            <w:instrText xml:space="preserve"> PAGEREF _Toc17257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t>方法论</w:t>
          </w:r>
          <w:r>
            <w:tab/>
          </w:r>
          <w:r>
            <w:fldChar w:fldCharType="begin"/>
          </w:r>
          <w:r>
            <w:instrText xml:space="preserve"> PAGEREF _Toc31898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pStyle w:val="3"/>
      </w:pPr>
      <w:bookmarkStart w:id="0" w:name="_Toc5982"/>
      <w:r>
        <w:t>深度、大局观、</w:t>
      </w:r>
      <w:bookmarkEnd w:id="0"/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深度是你的深度，大局观是你的广度，影响力其实是你的纵深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bookmarkStart w:id="1" w:name="_Toc32241"/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影响力，</w:t>
      </w: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影响力  分享</w:t>
      </w:r>
      <w:bookmarkEnd w:id="1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业务洞察力、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pStyle w:val="3"/>
        <w:ind w:left="575" w:leftChars="0" w:hanging="575" w:firstLineChars="0"/>
      </w:pPr>
      <w:bookmarkStart w:id="2" w:name="_Toc8213"/>
      <w:r>
        <w:t>业务洞察力</w:t>
      </w:r>
      <w:r>
        <w:rPr>
          <w:rFonts w:hint="eastAsia"/>
          <w:lang w:val="en-US" w:eastAsia="zh-CN"/>
        </w:rPr>
        <w:t xml:space="preserve">  </w:t>
      </w:r>
      <w:r>
        <w:t>价值识别</w:t>
      </w:r>
      <w:bookmarkEnd w:id="2"/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是指技术人员对价值点的识别，技术视野和原创力可以体现在价值输出，就是做出多少东西，解决了多少问题，最终解决方案有没有可借鉴性，有没有可以传递的价值。这三点最后就就转化为技术深度、大局观、影响力，串联起来就是我们最终对一个专家工程师的定义。下面举几个例子，来阐述一个优秀的专家工程师是什么样的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3" w:name="_Toc1601"/>
      <w:r>
        <w:t>视野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战略和人才</w:t>
      </w:r>
      <w:r>
        <w:rPr>
          <w:rFonts w:hint="eastAsia" w:ascii="Helvetica" w:hAnsi="Helvetica" w:eastAsia="宋体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专业</w:t>
      </w:r>
      <w:bookmarkEnd w:id="3"/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3D464D"/>
          <w:spacing w:val="0"/>
          <w:sz w:val="24"/>
          <w:szCs w:val="24"/>
          <w:shd w:val="clear" w:fill="FFFFFF"/>
        </w:rPr>
        <w:t>技术管理者的自我修炼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我们刚才说，技术发展有两个通道，一个是专家通道，一个是技术管理者的通道，这两个都是由专业来撬动的，技术管理者越往后发展，战略和人才这两块的重要性会越来越凸显，但最终都还是依托自己的专业。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/>
        </w:rPr>
      </w:pPr>
      <w:bookmarkStart w:id="4" w:name="_Toc17257"/>
      <w:r>
        <w:t>和原创力，</w:t>
      </w:r>
      <w:bookmarkEnd w:id="4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9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2650" cy="2743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/>
        </w:rPr>
      </w:pPr>
      <w:bookmarkStart w:id="5" w:name="_Toc31898"/>
      <w:r>
        <w:t>方法论</w:t>
      </w:r>
      <w:bookmarkEnd w:id="5"/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大部分人是靠经验，少数人则可以上升到方法的高度，差别在于泛化应用的层次会不一样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所以在看一个人的时候，判断他的成功是来自于过往经验还是来自于他的方法论，是非常重要的。再往底层看，人最本质的东西是事业心和悟性，事业心会决定他做事有多积极，悟性决定他的经验转换成方法的效率有多高，如果这两件事情都OK的话，这个人就是你需要的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8501"/>
    <w:multiLevelType w:val="multilevel"/>
    <w:tmpl w:val="0F2385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8430D"/>
    <w:rsid w:val="077F26BB"/>
    <w:rsid w:val="11F47680"/>
    <w:rsid w:val="13DE623D"/>
    <w:rsid w:val="198C36CE"/>
    <w:rsid w:val="2EC8430D"/>
    <w:rsid w:val="32422725"/>
    <w:rsid w:val="35E43E0B"/>
    <w:rsid w:val="3F666C8D"/>
    <w:rsid w:val="3FD01E0E"/>
    <w:rsid w:val="4BD408F4"/>
    <w:rsid w:val="5F840C6E"/>
    <w:rsid w:val="6967498B"/>
    <w:rsid w:val="6D535020"/>
    <w:rsid w:val="71D26F83"/>
    <w:rsid w:val="742C78DB"/>
    <w:rsid w:val="7FF7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2018-06-28T11:09:00Z</dcterms:created>
  <dc:creator>ATI老哇的爪子007</dc:creator>
  <cp:lastModifiedBy>ATI老哇的爪子007</cp:lastModifiedBy>
  <dcterms:modified xsi:type="dcterms:W3CDTF">2018-06-28T11:28:08Z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