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技术趋势的研究方法总结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0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当前年份发展趋势</w:t>
          </w:r>
          <w:r>
            <w:tab/>
          </w:r>
          <w:r>
            <w:fldChar w:fldCharType="begin"/>
          </w:r>
          <w:r>
            <w:instrText xml:space="preserve"> PAGEREF _Toc31306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未来长期发展趋势</w:t>
          </w:r>
          <w:r>
            <w:tab/>
          </w:r>
          <w:r>
            <w:fldChar w:fldCharType="begin"/>
          </w:r>
          <w:r>
            <w:instrText xml:space="preserve"> PAGEREF _Toc32512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没落技术</w:t>
          </w:r>
          <w:r>
            <w:tab/>
          </w:r>
          <w:r>
            <w:fldChar w:fldCharType="begin"/>
          </w:r>
          <w:r>
            <w:instrText xml:space="preserve"> PAGEREF _Toc14490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4. 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趋势搜集方法</w:t>
          </w:r>
          <w:r>
            <w:tab/>
          </w:r>
          <w:r>
            <w:fldChar w:fldCharType="begin"/>
          </w:r>
          <w:r>
            <w:instrText xml:space="preserve"> PAGEREF _Toc24075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4.1. 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2018 技术趋势 百度</w:t>
          </w:r>
          <w:r>
            <w:tab/>
          </w:r>
          <w:r>
            <w:fldChar w:fldCharType="begin"/>
          </w:r>
          <w:r>
            <w:instrText xml:space="preserve"> PAGEREF _Toc15023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全球领先的资讯技术研究和顾问公司Gartner公布了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战略科技发展趋势。</w:t>
          </w:r>
          <w:r>
            <w:tab/>
          </w:r>
          <w:r>
            <w:fldChar w:fldCharType="begin"/>
          </w:r>
          <w:r>
            <w:instrText xml:space="preserve"> PAGEREF _Toc13002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IEEE计算机协会预测2018年10大技术趋势.mhtml</w:t>
          </w:r>
          <w:r>
            <w:tab/>
          </w:r>
          <w:r>
            <w:fldChar w:fldCharType="begin"/>
          </w:r>
          <w:r>
            <w:instrText xml:space="preserve"> PAGEREF _Toc405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t>ThoughtWorks技术雷达</w:t>
          </w:r>
          <w:r>
            <w:tab/>
          </w:r>
          <w:r>
            <w:fldChar w:fldCharType="begin"/>
          </w:r>
          <w:r>
            <w:instrText xml:space="preserve"> PAGEREF _Toc3150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2" w:name="_GoBack"/>
          <w:bookmarkEnd w:id="12"/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1306"/>
      <w:r>
        <w:rPr>
          <w:rFonts w:hint="eastAsia"/>
          <w:lang w:val="en-US" w:eastAsia="zh-CN"/>
        </w:rPr>
        <w:t>当前年份发展趋势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32512"/>
      <w:r>
        <w:rPr>
          <w:rFonts w:hint="eastAsia"/>
          <w:lang w:val="en-US" w:eastAsia="zh-CN"/>
        </w:rPr>
        <w:t>未来长期发展趋势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4490"/>
      <w:r>
        <w:rPr>
          <w:rFonts w:hint="eastAsia"/>
          <w:lang w:val="en-US" w:eastAsia="zh-CN"/>
        </w:rPr>
        <w:t>没落技术</w:t>
      </w:r>
      <w:bookmarkEnd w:id="2"/>
    </w:p>
    <w:p>
      <w:pPr>
        <w:pStyle w:val="2"/>
        <w:rPr>
          <w:rStyle w:val="7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3" w:name="_Toc24337"/>
      <w:bookmarkStart w:id="4" w:name="_Toc24075"/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趋势搜集方法</w:t>
      </w:r>
      <w:bookmarkEnd w:id="3"/>
      <w:bookmarkEnd w:id="4"/>
    </w:p>
    <w:p>
      <w:pPr>
        <w:pStyle w:val="3"/>
        <w:rPr>
          <w:rStyle w:val="7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5" w:name="_Toc12305"/>
      <w:bookmarkStart w:id="6" w:name="_Toc15023"/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2018 技术趋势 百度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1810"/>
      <w:r>
        <w:rPr>
          <w:rStyle w:val="7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8" w:name="_Toc13002"/>
      <w:r>
        <w:t>全球领先的资讯技术研究和顾问公司Gartner公布了</w:t>
      </w:r>
      <w:r>
        <w:rPr>
          <w:rFonts w:hint="eastAsia"/>
          <w:lang w:val="en-US" w:eastAsia="zh-CN"/>
        </w:rPr>
        <w:t xml:space="preserve"> </w:t>
      </w:r>
      <w:r>
        <w:t>战略科技发展趋势。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5768"/>
      <w:bookmarkStart w:id="10" w:name="_Toc405"/>
      <w:r>
        <w:rPr>
          <w:rFonts w:hint="eastAsia"/>
          <w:lang w:val="en-US" w:eastAsia="zh-CN"/>
        </w:rPr>
        <w:t>IEEE计算机协会预测2018年10大技术趋势.mhtml</w:t>
      </w:r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0"/>
      <w:r>
        <w:t>ThoughtWorks技术雷达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08D"/>
    <w:multiLevelType w:val="multilevel"/>
    <w:tmpl w:val="597AE0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96EFC"/>
    <w:rsid w:val="0FDF151C"/>
    <w:rsid w:val="15896EFC"/>
    <w:rsid w:val="241A688E"/>
    <w:rsid w:val="2A087722"/>
    <w:rsid w:val="42C75602"/>
    <w:rsid w:val="4BBF679B"/>
    <w:rsid w:val="701A1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2019-05-07T09:54:00Z</dcterms:created>
  <dc:creator>ATI老哇的爪子007</dc:creator>
  <cp:lastModifiedBy>ATI老哇的爪子007</cp:lastModifiedBy>
  <dcterms:modified xsi:type="dcterms:W3CDTF">2019-05-07T11:16:44Z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