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Atitit.orm的历史与未来发展趋势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Attilax项目中的orm标准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1.无需配置文件或注解。。直接从map、json生成sql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2.直接获取sql。。无需连接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9F9F9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9F9F9"/>
        </w:rPr>
        <w:instrText xml:space="preserve"> HYPERLINK "http://www.2cto.com/database/" \t "http://www.2cto.com/database/201502/_blank"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9F9F9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9F9F9"/>
        </w:rPr>
        <w:t>数据库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9F9F9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。。方便调试。或这sql传输。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Hibernate阶段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lang w:val="en-US" w:eastAsia="zh-CN"/>
        </w:rPr>
        <w:t xml:space="preserve"> 静态orm的硬伤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每次调整增加，删除一个字段，都的要修改配置文件，修改领域对象。。甚至修改到ui上的这个字段。。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改进方法，使用动态Map代替 强类型的领域对象  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184AA6"/>
    <w:rsid w:val="27112B06"/>
    <w:rsid w:val="32184AA6"/>
    <w:rsid w:val="495F25C7"/>
    <w:rsid w:val="5BEF3F09"/>
    <w:rsid w:val="6BF25F03"/>
    <w:rsid w:val="79035F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2016-05-06T09:51:00Z</dcterms:created>
  <dc:creator>Administrator</dc:creator>
  <cp:lastModifiedBy>Administrator</cp:lastModifiedBy>
  <dcterms:modified xsi:type="dcterms:W3CDTF">2016-05-06T09:56:17Z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