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高效率开发规范 </w:t>
      </w:r>
    </w:p>
    <w:p>
      <w:pPr>
        <w:rPr>
          <w:rFonts w:hint="eastAsia"/>
          <w:lang w:val="en-US" w:eastAsia="zh-CN"/>
        </w:rPr>
      </w:pPr>
    </w:p>
    <w:tbl>
      <w:tblPr>
        <w:tblW w:w="1054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6"/>
        <w:gridCol w:w="3410"/>
        <w:gridCol w:w="2021"/>
        <w:gridCol w:w="3568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1.0.0</w:t>
            </w:r>
          </w:p>
        </w:tc>
        <w:tc>
          <w:tcPr>
            <w:tcW w:w="2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技术部</w:t>
            </w:r>
          </w:p>
        </w:tc>
        <w:tc>
          <w:tcPr>
            <w:tcW w:w="17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lang w:val="en-US" w:eastAsia="zh-CN"/>
              </w:rPr>
              <w:t>9.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12.7</w:t>
            </w:r>
          </w:p>
        </w:tc>
        <w:tc>
          <w:tcPr>
            <w:tcW w:w="30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首次向Java业界公开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命名规约</w:t>
          </w:r>
          <w:r>
            <w:tab/>
          </w:r>
          <w:r>
            <w:fldChar w:fldCharType="begin"/>
          </w:r>
          <w:r>
            <w:instrText xml:space="preserve"> PAGEREF _Toc31546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_Toc32375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不推荐</w:t>
          </w:r>
          <w:r>
            <w:tab/>
          </w:r>
          <w:r>
            <w:fldChar w:fldCharType="begin"/>
          </w:r>
          <w:r>
            <w:instrText xml:space="preserve"> PAGEREF _Toc5951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(三) 格式规约</w:t>
          </w:r>
          <w:r>
            <w:tab/>
          </w:r>
          <w:r>
            <w:fldChar w:fldCharType="begin"/>
          </w:r>
          <w:r>
            <w:instrText xml:space="preserve"> PAGEREF _Toc32606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(四) OOP规约</w:t>
          </w:r>
          <w:r>
            <w:tab/>
          </w:r>
          <w:r>
            <w:fldChar w:fldCharType="begin"/>
          </w:r>
          <w:r>
            <w:instrText xml:space="preserve"> PAGEREF _Toc8651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_Toc5010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不推荐，应该避免的地方</w:t>
          </w:r>
          <w:r>
            <w:tab/>
          </w:r>
          <w:r>
            <w:fldChar w:fldCharType="begin"/>
          </w:r>
          <w:r>
            <w:instrText xml:space="preserve"> PAGEREF _Toc14021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(六) 并发处理</w:t>
          </w:r>
          <w:r>
            <w:tab/>
          </w:r>
          <w:r>
            <w:fldChar w:fldCharType="begin"/>
          </w:r>
          <w:r>
            <w:instrText xml:space="preserve"> PAGEREF _Toc6275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_Toc12918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(八) 注释规约</w:t>
          </w:r>
          <w:r>
            <w:tab/>
          </w:r>
          <w:r>
            <w:fldChar w:fldCharType="begin"/>
          </w:r>
          <w:r>
            <w:instrText xml:space="preserve"> PAGEREF _Toc904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6.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二、异常日志</w:t>
          </w:r>
          <w:r>
            <w:tab/>
          </w:r>
          <w:r>
            <w:fldChar w:fldCharType="begin"/>
          </w:r>
          <w:r>
            <w:instrText xml:space="preserve"> PAGEREF _Toc24130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6.1.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  <w:shd w:val="clear" w:fill="FFFFFF"/>
            </w:rPr>
            <w:t>(一) 异常处理</w:t>
          </w:r>
          <w:r>
            <w:tab/>
          </w:r>
          <w:r>
            <w:fldChar w:fldCharType="begin"/>
          </w:r>
          <w:r>
            <w:instrText xml:space="preserve"> PAGEREF _Toc9271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7.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MYSQL规约</w:t>
          </w:r>
          <w:r>
            <w:tab/>
          </w:r>
          <w:r>
            <w:fldChar w:fldCharType="begin"/>
          </w:r>
          <w:r>
            <w:instrText xml:space="preserve"> PAGEREF _Toc20512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</w:rPr>
            <w:t xml:space="preserve">8.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42"/>
              <w:shd w:val="clear" w:fill="FFFFFF"/>
            </w:rPr>
            <w:t>四、工程规约</w:t>
          </w:r>
          <w:r>
            <w:tab/>
          </w:r>
          <w:r>
            <w:fldChar w:fldCharType="begin"/>
          </w:r>
          <w:r>
            <w:instrText xml:space="preserve"> PAGEREF _Toc4729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</w:rPr>
            <w:t xml:space="preserve">8.1.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1"/>
              <w:shd w:val="clear" w:fill="FFFFFF"/>
            </w:rPr>
            <w:t>(一) 应用分层</w:t>
          </w:r>
          <w:r>
            <w:tab/>
          </w:r>
          <w:r>
            <w:fldChar w:fldCharType="begin"/>
          </w:r>
          <w:r>
            <w:instrText xml:space="preserve"> PAGEREF _Toc31456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三、单元测试</w:t>
          </w:r>
          <w:r>
            <w:tab/>
          </w:r>
          <w:r>
            <w:fldChar w:fldCharType="begin"/>
          </w:r>
          <w:r>
            <w:instrText xml:space="preserve"> PAGEREF _Toc28228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_Toc7547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31546"/>
      <w:r>
        <w:rPr>
          <w:rFonts w:hint="default"/>
        </w:rPr>
        <w:t>命名规约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bookmarkStart w:id="1" w:name="_Toc32375"/>
      <w:r>
        <w:rPr>
          <w:rFonts w:hint="eastAsia"/>
          <w:lang w:eastAsia="zh-CN"/>
        </w:rPr>
        <w:t>推荐</w:t>
      </w:r>
      <w:bookmarkEnd w:id="1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命名可以以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美元符号开始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，方便与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php等语言兼容，并方便识别变量等，提升士气，到处都是dollor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使用中英文混合，也可以使用纯中文命名，提升理解度，大量的减少了无畏注释。。相当于强制提升可读性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如果某些情况对纯中文支持不好，可以使用拼音代替，注意分词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正确的拼写和语法可以让阅读者易于理解，避免歧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全面提升可读性，中文可以使用在java类名，属性，数据库库名表名，字段,sp,udf等各个地方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951"/>
      <w:r>
        <w:rPr>
          <w:rFonts w:hint="eastAsia"/>
          <w:lang w:val="en-US" w:eastAsia="zh-CN"/>
        </w:rPr>
        <w:t>不推荐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复杂单词不要使用纯英文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3" w:name="_Toc32606"/>
      <w:r>
        <w:rPr>
          <w:rFonts w:hint="default"/>
        </w:rPr>
        <w:t>(三) 格式规约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默认即可</w:t>
      </w:r>
    </w:p>
    <w:p>
      <w:pPr>
        <w:pStyle w:val="2"/>
        <w:bidi w:val="0"/>
        <w:rPr>
          <w:rFonts w:hint="eastAsia"/>
        </w:rPr>
      </w:pPr>
      <w:bookmarkStart w:id="4" w:name="_Toc8651"/>
      <w:r>
        <w:rPr>
          <w:rFonts w:hint="default"/>
        </w:rPr>
        <w:t>(四) OOP规约</w:t>
      </w:r>
      <w:bookmarkEnd w:id="4"/>
    </w:p>
    <w:p>
      <w:pPr>
        <w:pStyle w:val="3"/>
        <w:bidi w:val="0"/>
        <w:rPr>
          <w:rFonts w:hint="eastAsia"/>
          <w:lang w:eastAsia="zh-CN"/>
        </w:rPr>
      </w:pPr>
      <w:bookmarkStart w:id="5" w:name="_Toc5010"/>
      <w:r>
        <w:rPr>
          <w:rFonts w:hint="eastAsia"/>
          <w:lang w:eastAsia="zh-CN"/>
        </w:rPr>
        <w:t>推荐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直接访问属性，不要通过</w:t>
      </w:r>
      <w:r>
        <w:rPr>
          <w:rFonts w:hint="eastAsia"/>
          <w:lang w:val="en-US" w:eastAsia="zh-CN"/>
        </w:rPr>
        <w:t>get set，麻烦，语法噪音、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021"/>
      <w:r>
        <w:rPr>
          <w:rFonts w:hint="eastAsia"/>
          <w:lang w:val="en-US" w:eastAsia="zh-CN"/>
        </w:rPr>
        <w:t>不推荐，应该避免的地方</w:t>
      </w:r>
      <w:bookmarkEnd w:id="6"/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少使用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DO/DTO/VO等POJO类时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7" w:name="_Toc6275"/>
      <w:r>
        <w:rPr>
          <w:rFonts w:hint="default"/>
        </w:rPr>
        <w:t>(六) 并发处理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12918"/>
      <w:r>
        <w:rPr>
          <w:rFonts w:hint="eastAsia"/>
          <w:lang w:eastAsia="zh-CN"/>
        </w:rPr>
        <w:t>推荐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可以多使用数据库提供的</w:t>
      </w:r>
      <w:r>
        <w:rPr>
          <w:rFonts w:hint="eastAsia"/>
          <w:lang w:val="en-US" w:eastAsia="zh-CN"/>
        </w:rPr>
        <w:t>unique索引，trigger并发机制，提升开发效率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其次使用编程语言的并发控制机制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使用TPL模式任务并发库模式，少使用线程模式这种底层模式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9" w:name="_Toc904"/>
      <w:r>
        <w:rPr>
          <w:rFonts w:hint="default"/>
        </w:rPr>
        <w:t>(八) 注释规约</w:t>
      </w:r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直接使用中文或附加中文的方式来命名，避免过多的注释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【推荐】与其“半吊子”英文来注释，不如用中文注释把问题说清楚。专有名词、关键字，保持英文原文即可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10" w:name="_Toc2413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二、异常日志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11" w:name="_Toc9271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(一)</w:t>
      </w:r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异常处理</w:t>
      </w:r>
      <w:bookmarkEnd w:id="11"/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推荐使用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>lomok来消除异常警告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优先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异常用来做流程控制，条件控制，因为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可读性更高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优先使用异常控制，避免使用返回码（包括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http接口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12" w:name="_Toc20512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MYSQL规约</w:t>
      </w:r>
      <w:bookmarkEnd w:id="12"/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【强制】禁用保留字，如desc、range、match、delayed等，参考官方保留字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【推荐】单表行数超过500万行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以上或更高根据情况而定，可以优先进行分区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或者单表容量超过2GB，才推荐进行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分区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分库分表。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推荐使用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唯一索引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，尽可能避免在编码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在应用层通过“先查后插”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优先使用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使用外键与级联，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避免在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在应用层解决。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可以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使用存储过程，存储过程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无需编译部署，调试也可以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推荐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直接拿HashMap与HashTable作为查询结果集的输出。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不要使用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bean实体转换，繁琐还消耗性能。。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13" w:name="_Toc4729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四、工程规约</w:t>
      </w:r>
      <w:bookmarkEnd w:id="1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14" w:name="_Toc31456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(一)</w:t>
      </w:r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应用分层</w:t>
      </w:r>
      <w:bookmarkEnd w:id="14"/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简化分层，避免过度设计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少使用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领域模型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，多使用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db模型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5" w:name="_Toc2822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三、单元测试</w:t>
      </w:r>
      <w:bookmarkEnd w:id="15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7547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阿里巴巴Java开发规范（终极版v1.3.0）--个人整理 - 呢喃北上的博客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阿里巴巴Java开发规范手册 - HarkLee - 博客园.html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阿里巴巴Java开发规范手册 - HarkLee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5BD03"/>
    <w:multiLevelType w:val="multilevel"/>
    <w:tmpl w:val="BB75BD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87D4E"/>
    <w:rsid w:val="00166500"/>
    <w:rsid w:val="014F0D95"/>
    <w:rsid w:val="06D5121D"/>
    <w:rsid w:val="08C13A4D"/>
    <w:rsid w:val="08FC6445"/>
    <w:rsid w:val="0E1D03D8"/>
    <w:rsid w:val="0EC22F80"/>
    <w:rsid w:val="0FD50987"/>
    <w:rsid w:val="124242C4"/>
    <w:rsid w:val="141F686D"/>
    <w:rsid w:val="172D4C21"/>
    <w:rsid w:val="17E73C5A"/>
    <w:rsid w:val="1A957B04"/>
    <w:rsid w:val="1D4C0E11"/>
    <w:rsid w:val="1E426197"/>
    <w:rsid w:val="20A0474C"/>
    <w:rsid w:val="228E357D"/>
    <w:rsid w:val="23737667"/>
    <w:rsid w:val="240A7E32"/>
    <w:rsid w:val="24CB1A27"/>
    <w:rsid w:val="24F53FF2"/>
    <w:rsid w:val="25344F95"/>
    <w:rsid w:val="26203DD6"/>
    <w:rsid w:val="28AF70DE"/>
    <w:rsid w:val="2A942B40"/>
    <w:rsid w:val="2AB54163"/>
    <w:rsid w:val="2DCF7E74"/>
    <w:rsid w:val="33DF5064"/>
    <w:rsid w:val="33FC734A"/>
    <w:rsid w:val="349B2FAC"/>
    <w:rsid w:val="34E132E8"/>
    <w:rsid w:val="395405E8"/>
    <w:rsid w:val="3D88243D"/>
    <w:rsid w:val="3ED34B00"/>
    <w:rsid w:val="3FD32C13"/>
    <w:rsid w:val="41086C6A"/>
    <w:rsid w:val="410E3274"/>
    <w:rsid w:val="444575B0"/>
    <w:rsid w:val="45B44C8A"/>
    <w:rsid w:val="46C04CEE"/>
    <w:rsid w:val="48D87D4E"/>
    <w:rsid w:val="491B3FA8"/>
    <w:rsid w:val="4A367B32"/>
    <w:rsid w:val="4B837B2B"/>
    <w:rsid w:val="4C057C46"/>
    <w:rsid w:val="4CEE41A0"/>
    <w:rsid w:val="4F074110"/>
    <w:rsid w:val="4FC15B5E"/>
    <w:rsid w:val="54472BF0"/>
    <w:rsid w:val="55AB4139"/>
    <w:rsid w:val="56FD55E8"/>
    <w:rsid w:val="5894626B"/>
    <w:rsid w:val="59AD0C4A"/>
    <w:rsid w:val="5B07757E"/>
    <w:rsid w:val="600C5F0F"/>
    <w:rsid w:val="60A531BA"/>
    <w:rsid w:val="62EE4596"/>
    <w:rsid w:val="63EC6B67"/>
    <w:rsid w:val="676D00C4"/>
    <w:rsid w:val="6EBD4468"/>
    <w:rsid w:val="72A90AD1"/>
    <w:rsid w:val="733D328A"/>
    <w:rsid w:val="75CC2C38"/>
    <w:rsid w:val="7CDE03A6"/>
    <w:rsid w:val="7D780465"/>
    <w:rsid w:val="7E8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2019-10-23T11:38:00Z</dcterms:created>
  <dc:creator>WPS_1569910632</dc:creator>
  <cp:lastModifiedBy>WPS_1569910632</cp:lastModifiedBy>
  <dcterms:modified xsi:type="dcterms:W3CDTF">2019-10-23T12:06:30Z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