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出入境人数 与未来国际扩展旅游壶护照水平提升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03030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03030"/>
          <w:spacing w:val="0"/>
          <w:sz w:val="16"/>
          <w:szCs w:val="16"/>
          <w:shd w:val="clear" w:fill="FFFFFF"/>
        </w:rPr>
        <w:t>根据梁建章所披露的一组来自世界银行的数据，2008年中国入境游人数超过5000万人次，而当时的出境游人数尚不足5000万人次。但在2017年我国的入境游旅客才刚刚超过6000万，出境游旅客人数则已经超过了1亿4000万。</w:t>
      </w:r>
    </w:p>
    <w:p>
      <w:pPr>
        <w:rPr>
          <w:rFonts w:hint="eastAsia" w:ascii="Arial" w:hAnsi="Arial" w:eastAsia="宋体" w:cs="Arial"/>
          <w:i w:val="0"/>
          <w:caps w:val="0"/>
          <w:color w:val="303030"/>
          <w:spacing w:val="0"/>
          <w:sz w:val="16"/>
          <w:szCs w:val="16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0303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03030"/>
          <w:spacing w:val="0"/>
          <w:sz w:val="16"/>
          <w:szCs w:val="16"/>
          <w:shd w:val="clear" w:fill="FFFFFF"/>
        </w:rPr>
        <w:t>截止2018年底，中国境内民用机场共有235个，支撑起了6.1亿旅客人次出行。目前，中国境内年旅客吞吐量达到1000万人次的通航机场有37个，支撑起中国航空的庞大体量与需求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5CC3E"/>
    <w:multiLevelType w:val="multilevel"/>
    <w:tmpl w:val="3D95CC3E"/>
    <w:lvl w:ilvl="0" w:tentative="0">
      <w:start w:val="1"/>
      <w:numFmt w:val="chineseCounting"/>
      <w:pStyle w:val="2"/>
      <w:suff w:val="nothing"/>
      <w:lvlText w:val="第%1章　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E6722E"/>
    <w:rsid w:val="08F438DF"/>
    <w:rsid w:val="25E90EB0"/>
    <w:rsid w:val="4AE6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firstLine="402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2020-01-07T11:04:00Z</dcterms:created>
  <dc:creator>ATI老哇的爪子007</dc:creator>
  <cp:lastModifiedBy>ATI老哇的爪子007</cp:lastModifiedBy>
  <dcterms:modified xsi:type="dcterms:W3CDTF">2020-01-07T11:17:42Z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