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扩展性案例总结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426"/>
      <w:r>
        <w:rPr>
          <w:rFonts w:hint="eastAsia"/>
          <w:lang w:eastAsia="zh-CN"/>
        </w:rPr>
        <w:t>其他的常见扩展模式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351"/>
      <w:r>
        <w:rPr>
          <w:rFonts w:hint="eastAsia"/>
          <w:lang w:val="en-US" w:eastAsia="zh-CN"/>
        </w:rPr>
        <w:t>Php使用其他语言写lib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2531"/>
      <w:r>
        <w:rPr>
          <w:rFonts w:hint="eastAsia"/>
          <w:lang w:val="en-US" w:eastAsia="zh-CN"/>
        </w:rPr>
        <w:t>Cms的插件机制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19778"/>
      <w:r>
        <w:rPr>
          <w:rFonts w:hint="eastAsia"/>
          <w:lang w:val="en-US" w:eastAsia="zh-CN"/>
        </w:rPr>
        <w:t>浏览器的插件机制，使用其他语言写插件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631"/>
      <w:r>
        <w:rPr>
          <w:rFonts w:hint="eastAsia"/>
          <w:lang w:val="en-US" w:eastAsia="zh-CN"/>
        </w:rPr>
        <w:t>Oracle支持java写sp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9577"/>
      <w:r>
        <w:t>用</w:t>
      </w:r>
      <w:r>
        <w:rPr>
          <w:rFonts w:hint="default"/>
        </w:rPr>
        <w:t>lua扩展你的N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  <w:t>ginx(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4297"/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t>oa office excel vbs vba  com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485"/>
      <w:r>
        <w:rPr>
          <w:rFonts w:hint="eastAsia"/>
          <w:lang w:val="en-US" w:eastAsia="zh-CN"/>
        </w:rPr>
        <w:t>游戏外挂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使用js 扩展，作为sp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 使用shell  script dsl</w:t>
      </w:r>
      <w:bookmarkStart w:id="8" w:name="_GoBack"/>
      <w:bookmarkEnd w:id="8"/>
      <w:r>
        <w:rPr>
          <w:rFonts w:hint="eastAsia"/>
          <w:lang w:val="en-US" w:eastAsia="zh-CN"/>
        </w:rPr>
        <w:t>扩展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0190"/>
    <w:multiLevelType w:val="multilevel"/>
    <w:tmpl w:val="589B019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B531E"/>
    <w:rsid w:val="31680720"/>
    <w:rsid w:val="37945C05"/>
    <w:rsid w:val="3FC9443D"/>
    <w:rsid w:val="6B7B531E"/>
    <w:rsid w:val="6E0C11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2019-06-22T15:41:00Z</dcterms:created>
  <dc:creator>ATI老哇的爪子007</dc:creator>
  <cp:lastModifiedBy>ATI老哇的爪子007</cp:lastModifiedBy>
  <dcterms:modified xsi:type="dcterms:W3CDTF">2019-06-22T15:42:43Z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