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 xml:space="preserve">Atitit 提升扩展性  </w:t>
      </w:r>
      <w:r>
        <w:rPr>
          <w:rFonts w:hint="default" w:ascii="Verdana" w:hAnsi="Verdana" w:cs="Verdana"/>
          <w:i w:val="0"/>
          <w:caps w:val="0"/>
          <w:color w:val="111111"/>
          <w:spacing w:val="0"/>
          <w:sz w:val="19"/>
          <w:szCs w:val="19"/>
          <w:shd w:val="clear" w:fill="FFFFFF"/>
        </w:rPr>
        <w:t>业务流程模型（如BPMN</w:t>
      </w:r>
      <w:r>
        <w:rPr>
          <w:rFonts w:hint="eastAsia" w:ascii="Verdana" w:hAnsi="Verdana" w:cs="Verdana"/>
          <w:i w:val="0"/>
          <w:caps w:val="0"/>
          <w:color w:val="111111"/>
          <w:spacing w:val="0"/>
          <w:sz w:val="19"/>
          <w:szCs w:val="19"/>
          <w:shd w:val="clear" w:fill="FFFFFF"/>
          <w:lang w:val="en-US" w:eastAsia="zh-CN"/>
        </w:rPr>
        <w:t xml:space="preserve"> </w:t>
      </w:r>
      <w:r>
        <w:rPr>
          <w:rFonts w:ascii="Arial" w:hAnsi="Arial" w:eastAsia="宋体" w:cs="Arial"/>
          <w:i w:val="0"/>
          <w:caps w:val="0"/>
          <w:color w:val="333333"/>
          <w:spacing w:val="0"/>
          <w:sz w:val="19"/>
          <w:szCs w:val="19"/>
          <w:shd w:val="clear" w:fill="FFFFFF"/>
        </w:rPr>
        <w:t>决策模型和表示法(</w:t>
      </w:r>
      <w:r>
        <w:rPr>
          <w:rStyle w:val="5"/>
          <w:rFonts w:hint="default" w:ascii="Arial" w:hAnsi="Arial" w:eastAsia="宋体" w:cs="Arial"/>
          <w:i w:val="0"/>
          <w:caps w:val="0"/>
          <w:color w:val="CC0000"/>
          <w:spacing w:val="0"/>
          <w:sz w:val="19"/>
          <w:szCs w:val="19"/>
          <w:shd w:val="clear" w:fill="FFFFFF"/>
        </w:rPr>
        <w:t>DMN</w:t>
      </w:r>
      <w:r>
        <w:rPr>
          <w:rFonts w:hint="default" w:ascii="Arial" w:hAnsi="Arial" w:eastAsia="宋体" w:cs="Arial"/>
          <w:i w:val="0"/>
          <w:caps w:val="0"/>
          <w:color w:val="333333"/>
          <w:spacing w:val="0"/>
          <w:sz w:val="19"/>
          <w:szCs w:val="19"/>
          <w:shd w:val="clear" w:fill="FFFFFF"/>
        </w:rPr>
        <w:t>)</w:t>
      </w:r>
    </w:p>
    <w:p>
      <w:pPr>
        <w:rPr>
          <w:rFonts w:hint="eastAsia" w:eastAsiaTheme="minorEastAsia"/>
          <w:lang w:val="en-US" w:eastAsia="zh-CN"/>
        </w:rPr>
      </w:pPr>
    </w:p>
    <w:p>
      <w:pPr>
        <w:rPr>
          <w:rFonts w:hint="default"/>
          <w:lang w:val="en-US" w:eastAsia="zh-CN"/>
        </w:rPr>
      </w:pPr>
      <w:bookmarkStart w:id="0" w:name="_GoBack"/>
      <w:r>
        <w:rPr>
          <w:rFonts w:hint="eastAsia"/>
          <w:lang w:val="en-US" w:eastAsia="zh-CN"/>
        </w:rPr>
        <w:t>grails</w:t>
      </w:r>
      <w:bookmarkEnd w:id="0"/>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i w:val="0"/>
          <w:caps w:val="0"/>
          <w:color w:val="111111"/>
          <w:spacing w:val="0"/>
          <w:sz w:val="19"/>
          <w:szCs w:val="19"/>
        </w:rPr>
      </w:pPr>
      <w:r>
        <w:rPr>
          <w:rFonts w:hint="default" w:ascii="Verdana" w:hAnsi="Verdana" w:cs="Verdana"/>
          <w:i w:val="0"/>
          <w:caps w:val="0"/>
          <w:color w:val="111111"/>
          <w:spacing w:val="0"/>
          <w:sz w:val="19"/>
          <w:szCs w:val="19"/>
          <w:bdr w:val="none" w:color="auto" w:sz="0" w:space="0"/>
          <w:shd w:val="clear" w:fill="FFFFFF"/>
        </w:rPr>
        <w:t>这里讨论的决策应用主要针对以下两种不同视角的建模标准：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i w:val="0"/>
          <w:caps w:val="0"/>
          <w:color w:val="111111"/>
          <w:spacing w:val="0"/>
          <w:sz w:val="19"/>
          <w:szCs w:val="19"/>
          <w:bdr w:val="none" w:color="auto" w:sz="0" w:space="0"/>
          <w:shd w:val="clear" w:fill="FFFFFF"/>
        </w:rPr>
        <w:t>业务流程模型（如BPMN）业务处理过程中，在决策发生的地方通过定义特别的任务或活动描述决策是如何协作的。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0" w:right="0" w:hanging="360"/>
      </w:pPr>
      <w:r>
        <w:rPr>
          <w:rFonts w:hint="default" w:ascii="Verdana" w:hAnsi="Verdana" w:cs="Verdana"/>
          <w:i w:val="0"/>
          <w:caps w:val="0"/>
          <w:color w:val="111111"/>
          <w:spacing w:val="0"/>
          <w:sz w:val="19"/>
          <w:szCs w:val="19"/>
          <w:bdr w:val="none" w:color="auto" w:sz="0" w:space="0"/>
          <w:shd w:val="clear" w:fill="FFFFFF"/>
        </w:rPr>
        <w:t>决策逻辑（例如，PRR，PMML）可以用来做单个决策的具体逻辑定义，例如业务规则，决策表，或可执行的分析模型。</w:t>
      </w:r>
    </w:p>
    <w:p>
      <w:pPr>
        <w:rPr>
          <w:rFonts w:hint="default"/>
          <w:lang w:val="en-US" w:eastAsia="zh-CN"/>
        </w:rPr>
      </w:pPr>
    </w:p>
    <w:p>
      <w:pPr>
        <w:rPr>
          <w:rFonts w:hint="default"/>
          <w:lang w:val="en-US" w:eastAsia="zh-CN"/>
        </w:rPr>
      </w:pPr>
      <w:r>
        <w:rPr>
          <w:rFonts w:ascii="Arial" w:hAnsi="Arial" w:eastAsia="宋体" w:cs="Arial"/>
          <w:i w:val="0"/>
          <w:caps w:val="0"/>
          <w:color w:val="333333"/>
          <w:spacing w:val="0"/>
          <w:sz w:val="19"/>
          <w:szCs w:val="19"/>
          <w:shd w:val="clear" w:fill="FFFFFF"/>
        </w:rPr>
        <w:t>决策模型和表示法(</w:t>
      </w:r>
      <w:r>
        <w:rPr>
          <w:rStyle w:val="5"/>
          <w:rFonts w:hint="default" w:ascii="Arial" w:hAnsi="Arial" w:eastAsia="宋体" w:cs="Arial"/>
          <w:i w:val="0"/>
          <w:caps w:val="0"/>
          <w:color w:val="CC0000"/>
          <w:spacing w:val="0"/>
          <w:sz w:val="19"/>
          <w:szCs w:val="19"/>
          <w:shd w:val="clear" w:fill="FFFFFF"/>
        </w:rPr>
        <w:t>DMN</w:t>
      </w:r>
      <w:r>
        <w:rPr>
          <w:rFonts w:hint="default" w:ascii="Arial" w:hAnsi="Arial" w:eastAsia="宋体" w:cs="Arial"/>
          <w:i w:val="0"/>
          <w:caps w:val="0"/>
          <w:color w:val="333333"/>
          <w:spacing w:val="0"/>
          <w:sz w:val="19"/>
          <w:szCs w:val="19"/>
          <w:shd w:val="clear" w:fill="FFFFFF"/>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F3E89"/>
    <w:multiLevelType w:val="multilevel"/>
    <w:tmpl w:val="57CF3E8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FB1350"/>
    <w:rsid w:val="19FB1350"/>
    <w:rsid w:val="644C575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2019-08-08T08:54:00Z</dcterms:created>
  <dc:creator>ATI老哇的爪子007</dc:creator>
  <cp:lastModifiedBy>ATI老哇的爪子007</cp:lastModifiedBy>
  <dcterms:modified xsi:type="dcterms:W3CDTF">2019-08-08T10:11:08Z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