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提升扩展性指标与方法总结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7568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29" w:name="_GoBack"/>
          <w:bookmarkEnd w:id="29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_Toc30374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扩展性常见指标</w:t>
          </w:r>
          <w:r>
            <w:tab/>
          </w:r>
          <w:r>
            <w:fldChar w:fldCharType="begin"/>
          </w:r>
          <w:r>
            <w:instrText xml:space="preserve"> PAGEREF _Toc30374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_Toc13295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代码简洁，应业务变动调整修改少</w:t>
          </w:r>
          <w:r>
            <w:tab/>
          </w:r>
          <w:r>
            <w:fldChar w:fldCharType="begin"/>
          </w:r>
          <w:r>
            <w:instrText xml:space="preserve"> PAGEREF _Toc13295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免编译</w:t>
          </w:r>
          <w:r>
            <w:tab/>
          </w:r>
          <w:r>
            <w:fldChar w:fldCharType="begin"/>
          </w:r>
          <w:r>
            <w:instrText xml:space="preserve"> PAGEREF _Toc1827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_Toc26699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是否支持热部署</w:t>
          </w:r>
          <w:r>
            <w:tab/>
          </w:r>
          <w:r>
            <w:fldChar w:fldCharType="begin"/>
          </w:r>
          <w:r>
            <w:instrText xml:space="preserve"> PAGEREF _Toc26699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其他。。。</w:t>
          </w:r>
          <w:r>
            <w:tab/>
          </w:r>
          <w:r>
            <w:fldChar w:fldCharType="begin"/>
          </w:r>
          <w:r>
            <w:instrText xml:space="preserve"> PAGEREF _Toc180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_Toc24394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常见的方法策略</w:t>
          </w:r>
          <w:r>
            <w:tab/>
          </w:r>
          <w:r>
            <w:fldChar w:fldCharType="begin"/>
          </w:r>
          <w:r>
            <w:instrText xml:space="preserve"> PAGEREF _Toc24394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_Toc31176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尽可能转移提升语言级别到4gl</w:t>
          </w:r>
          <w:r>
            <w:tab/>
          </w:r>
          <w:r>
            <w:fldChar w:fldCharType="begin"/>
          </w:r>
          <w:r>
            <w:instrText xml:space="preserve"> PAGEREF _Toc31176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_Toc15995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语言的代际</w:t>
          </w:r>
          <w:r>
            <w:rPr>
              <w:rFonts w:hint="eastAsia"/>
              <w:vertAlign w:val="baseline"/>
              <w:lang w:val="en-US" w:eastAsia="zh-CN"/>
            </w:rPr>
            <w:t>级别</w:t>
          </w:r>
          <w:r>
            <w:rPr>
              <w:rFonts w:hint="eastAsia"/>
              <w:lang w:val="en-US" w:eastAsia="zh-CN"/>
            </w:rPr>
            <w:t>关系表</w:t>
          </w:r>
          <w:r>
            <w:tab/>
          </w:r>
          <w:r>
            <w:fldChar w:fldCharType="begin"/>
          </w:r>
          <w:r>
            <w:instrText xml:space="preserve"> PAGEREF _Toc15995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_Toc20236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内嵌解释器 表达式解释器等</w:t>
          </w:r>
          <w:r>
            <w:tab/>
          </w:r>
          <w:r>
            <w:fldChar w:fldCharType="begin"/>
          </w:r>
          <w:r>
            <w:instrText xml:space="preserve"> PAGEREF _Toc20236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_Toc28621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尽可能配置化动态化</w:t>
          </w:r>
          <w:r>
            <w:tab/>
          </w:r>
          <w:r>
            <w:fldChar w:fldCharType="begin"/>
          </w:r>
          <w:r>
            <w:instrText xml:space="preserve"> PAGEREF _Toc28621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2.5. </w:t>
          </w:r>
          <w:r>
            <w:rPr>
              <w:rFonts w:hint="eastAsia"/>
              <w:lang w:val="en-US" w:eastAsia="zh-CN"/>
            </w:rPr>
            <w:t>Scheme less Scheme free模式 多使用弱类型结构json等</w:t>
          </w:r>
          <w:r>
            <w:tab/>
          </w:r>
          <w:r>
            <w:fldChar w:fldCharType="begin"/>
          </w:r>
          <w:r>
            <w:instrText xml:space="preserve"> PAGEREF _Toc2777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_Toc9142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2.6. </w:t>
          </w:r>
          <w:r>
            <w:rPr>
              <w:rFonts w:hint="eastAsia"/>
              <w:lang w:val="en-US" w:eastAsia="zh-CN"/>
            </w:rPr>
            <w:t>对于编译类型语言，多使用map等动态结构</w:t>
          </w:r>
          <w:r>
            <w:tab/>
          </w:r>
          <w:r>
            <w:fldChar w:fldCharType="begin"/>
          </w:r>
          <w:r>
            <w:instrText xml:space="preserve"> PAGEREF _Toc9142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_Toc13646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2.7. </w:t>
          </w:r>
          <w:r>
            <w:rPr>
              <w:rFonts w:hint="eastAsia"/>
              <w:lang w:val="en-US" w:eastAsia="zh-CN"/>
            </w:rPr>
            <w:t>中间层通道化 驱动化</w:t>
          </w:r>
          <w:r>
            <w:tab/>
          </w:r>
          <w:r>
            <w:fldChar w:fldCharType="begin"/>
          </w:r>
          <w:r>
            <w:instrText xml:space="preserve"> PAGEREF _Toc13646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_Toc23918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2.8. </w:t>
          </w:r>
          <w:r>
            <w:rPr>
              <w:rFonts w:hint="eastAsia"/>
              <w:lang w:val="en-US" w:eastAsia="zh-CN"/>
            </w:rPr>
            <w:t>无中心节点，避免庞大组件出现</w:t>
          </w:r>
          <w:r>
            <w:tab/>
          </w:r>
          <w:r>
            <w:fldChar w:fldCharType="begin"/>
          </w:r>
          <w:r>
            <w:instrText xml:space="preserve"> PAGEREF _Toc23918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_Toc14857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2.9. </w:t>
          </w:r>
          <w:r>
            <w:rPr>
              <w:rFonts w:hint="eastAsia"/>
              <w:lang w:val="en-US" w:eastAsia="zh-CN"/>
            </w:rPr>
            <w:t>Ioc 回调模式</w:t>
          </w:r>
          <w:r>
            <w:tab/>
          </w:r>
          <w:r>
            <w:fldChar w:fldCharType="begin"/>
          </w:r>
          <w:r>
            <w:instrText xml:space="preserve"> PAGEREF _Toc14857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_Toc8759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2.10. </w:t>
          </w:r>
          <w:r>
            <w:rPr>
              <w:rFonts w:hint="eastAsia"/>
              <w:lang w:val="en-US" w:eastAsia="zh-CN"/>
            </w:rPr>
            <w:t>尽可能简洁减少代码数量，特别静态语言类</w:t>
          </w:r>
          <w:r>
            <w:tab/>
          </w:r>
          <w:r>
            <w:fldChar w:fldCharType="begin"/>
          </w:r>
          <w:r>
            <w:instrText xml:space="preserve"> PAGEREF _Toc8759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_Toc14556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其他一些扩展性方法</w:t>
          </w:r>
          <w:r>
            <w:tab/>
          </w:r>
          <w:r>
            <w:fldChar w:fldCharType="begin"/>
          </w:r>
          <w:r>
            <w:instrText xml:space="preserve"> PAGEREF _Toc14556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_Toc27602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3.1. </w:t>
          </w:r>
          <w:r>
            <w:rPr>
              <w:rFonts w:hint="eastAsia"/>
              <w:lang w:eastAsia="zh-CN"/>
            </w:rPr>
            <w:t>适当使用写</w:t>
          </w:r>
          <w:r>
            <w:rPr>
              <w:rFonts w:hint="eastAsia"/>
              <w:lang w:val="en-US" w:eastAsia="zh-CN"/>
            </w:rPr>
            <w:t xml:space="preserve"> </w:t>
          </w:r>
          <w:r>
            <w:t>设计模式</w:t>
          </w:r>
          <w:r>
            <w:tab/>
          </w:r>
          <w:r>
            <w:fldChar w:fldCharType="begin"/>
          </w:r>
          <w:r>
            <w:instrText xml:space="preserve"> PAGEREF _Toc27602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3.2. </w:t>
          </w:r>
          <w:r>
            <w:rPr>
              <w:rFonts w:hint="eastAsia"/>
              <w:lang w:eastAsia="zh-CN"/>
            </w:rPr>
            <w:t>适当抽象</w:t>
          </w:r>
          <w:r>
            <w:tab/>
          </w:r>
          <w:r>
            <w:fldChar w:fldCharType="begin"/>
          </w:r>
          <w:r>
            <w:instrText xml:space="preserve"> PAGEREF _Toc240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_Toc16261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eastAsia="zh-CN"/>
            </w:rPr>
            <w:t>产品化</w:t>
          </w:r>
          <w:r>
            <w:rPr>
              <w:rFonts w:hint="eastAsia"/>
              <w:lang w:val="en-US" w:eastAsia="zh-CN"/>
            </w:rPr>
            <w:t xml:space="preserve">  </w:t>
          </w:r>
          <w:r>
            <w:t>为“普罗大众”去设计，而不是为“个例”设计</w:t>
          </w:r>
          <w:r>
            <w:tab/>
          </w:r>
          <w:r>
            <w:fldChar w:fldCharType="begin"/>
          </w:r>
          <w:r>
            <w:instrText xml:space="preserve"> PAGEREF _Toc16261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_Toc12849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4. </w:t>
          </w:r>
          <w:r>
            <w:rPr>
              <w:rFonts w:hint="eastAsia"/>
              <w:lang w:eastAsia="zh-CN"/>
            </w:rPr>
            <w:t>提升可读性</w:t>
          </w:r>
          <w:r>
            <w:tab/>
          </w:r>
          <w:r>
            <w:fldChar w:fldCharType="begin"/>
          </w:r>
          <w:r>
            <w:instrText xml:space="preserve"> PAGEREF _Toc12849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_Toc5723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4.1. </w:t>
          </w:r>
          <w:r>
            <w:rPr>
              <w:rFonts w:hint="eastAsia"/>
              <w:lang w:eastAsia="zh-CN"/>
            </w:rPr>
            <w:t>本地化</w:t>
          </w:r>
          <w:r>
            <w:tab/>
          </w:r>
          <w:r>
            <w:fldChar w:fldCharType="begin"/>
          </w:r>
          <w:r>
            <w:instrText xml:space="preserve"> PAGEREF _Toc5723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_Toc7935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Dsl 自然语言化</w:t>
          </w:r>
          <w:r>
            <w:tab/>
          </w:r>
          <w:r>
            <w:fldChar w:fldCharType="begin"/>
          </w:r>
          <w:r>
            <w:instrText xml:space="preserve"> PAGEREF _Toc7935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_Toc26775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控制转移法 比如查表法代替if else判断</w:t>
          </w:r>
          <w:r>
            <w:tab/>
          </w:r>
          <w:r>
            <w:fldChar w:fldCharType="begin"/>
          </w:r>
          <w:r>
            <w:instrText xml:space="preserve"> PAGEREF _Toc26775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_Toc6260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4.4. </w:t>
          </w:r>
          <w:r>
            <w:rPr>
              <w:rFonts w:hint="eastAsia"/>
              <w:lang w:val="en-US" w:eastAsia="zh-CN"/>
            </w:rPr>
            <w:t>多同步法 少异步</w:t>
          </w:r>
          <w:r>
            <w:tab/>
          </w:r>
          <w:r>
            <w:fldChar w:fldCharType="begin"/>
          </w:r>
          <w:r>
            <w:instrText xml:space="preserve"> PAGEREF _Toc6260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_Toc32098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_Toc32098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30374"/>
      <w:r>
        <w:rPr>
          <w:rFonts w:hint="eastAsia"/>
          <w:lang w:val="en-US" w:eastAsia="zh-CN"/>
        </w:rPr>
        <w:t>扩展性常见指标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13295"/>
      <w:r>
        <w:rPr>
          <w:rFonts w:hint="eastAsia"/>
          <w:lang w:val="en-US" w:eastAsia="zh-CN"/>
        </w:rPr>
        <w:t>代码简洁，应业务变动调整修改少</w:t>
      </w:r>
      <w:bookmarkEnd w:id="1"/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2" w:name="_Toc1827"/>
      <w:r>
        <w:rPr>
          <w:rFonts w:hint="eastAsia"/>
          <w:lang w:val="en-US" w:eastAsia="zh-CN"/>
        </w:rPr>
        <w:t>免编译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尽可能做到业务功能变动，代码调整，无需编译。。避免了带来的打包与热部署问题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26699"/>
      <w:r>
        <w:rPr>
          <w:rFonts w:hint="eastAsia"/>
          <w:lang w:val="en-US" w:eastAsia="zh-CN"/>
        </w:rPr>
        <w:t>是否支持热部署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调整代码无需重启服务器服务程序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180"/>
      <w:r>
        <w:rPr>
          <w:rFonts w:hint="eastAsia"/>
          <w:lang w:val="en-US" w:eastAsia="zh-CN"/>
        </w:rPr>
        <w:t>其他。。。</w:t>
      </w:r>
      <w:bookmarkEnd w:id="4"/>
    </w:p>
    <w:p>
      <w:pPr>
        <w:pStyle w:val="2"/>
        <w:bidi w:val="0"/>
        <w:rPr>
          <w:rFonts w:hint="default"/>
          <w:lang w:val="en-US" w:eastAsia="zh-CN"/>
        </w:rPr>
      </w:pPr>
      <w:bookmarkStart w:id="5" w:name="_Toc24394"/>
      <w:r>
        <w:rPr>
          <w:rFonts w:hint="eastAsia"/>
          <w:lang w:val="en-US" w:eastAsia="zh-CN"/>
        </w:rPr>
        <w:t>常见的方法策略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bookmarkStart w:id="6" w:name="_Toc31176"/>
      <w:r>
        <w:rPr>
          <w:rFonts w:hint="eastAsia"/>
          <w:lang w:val="en-US" w:eastAsia="zh-CN"/>
        </w:rPr>
        <w:t>尽可能转移提升语言级别到4gl</w:t>
      </w:r>
      <w:bookmarkEnd w:id="6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语言级别越高，可读性越高，代码越简洁，扩展性越高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语言的趋势也是趋向于免编译，动态性，可读性等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7" w:name="_Toc15995"/>
      <w:r>
        <w:rPr>
          <w:rFonts w:hint="eastAsia"/>
          <w:lang w:val="en-US" w:eastAsia="zh-CN"/>
        </w:rPr>
        <w:t>语言的代际</w:t>
      </w:r>
      <w:r>
        <w:rPr>
          <w:rFonts w:hint="eastAsia"/>
          <w:vertAlign w:val="baseline"/>
          <w:lang w:val="en-US" w:eastAsia="zh-CN"/>
        </w:rPr>
        <w:t>级别</w:t>
      </w:r>
      <w:r>
        <w:rPr>
          <w:rFonts w:hint="eastAsia"/>
          <w:lang w:val="en-US" w:eastAsia="zh-CN"/>
        </w:rPr>
        <w:t>关系表</w:t>
      </w:r>
      <w:bookmarkEnd w:id="7"/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语言</w:t>
            </w:r>
            <w:r>
              <w:rPr>
                <w:rFonts w:hint="eastAsia"/>
                <w:vertAlign w:val="baseline"/>
                <w:lang w:val="en-US" w:eastAsia="zh-CN"/>
              </w:rPr>
              <w:t>代际与级别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具体常见语言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shd w:val="clear" w:color="auto" w:fill="FFFFFF" w:themeFill="background1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5gl</w:t>
            </w:r>
          </w:p>
        </w:tc>
        <w:tc>
          <w:tcPr>
            <w:tcW w:w="284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自然语言等</w:t>
            </w:r>
          </w:p>
        </w:tc>
        <w:tc>
          <w:tcPr>
            <w:tcW w:w="2841" w:type="dxa"/>
            <w:shd w:val="clear" w:color="auto" w:fill="FFFFFF" w:themeFill="background1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进展很大，但还不大成熟。。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4gl</w:t>
            </w:r>
          </w:p>
        </w:tc>
        <w:tc>
          <w:tcPr>
            <w:tcW w:w="2841" w:type="dxa"/>
          </w:tcPr>
          <w:p>
            <w:pPr>
              <w:ind w:left="210" w:hanging="210" w:hanging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Sql h5 xml yml 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常见实现 规则引擎bpm工作流等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3.5g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Script系列 js python php等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3gl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c#等需要编译的语言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2gl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Asm类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1gl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机器语言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8" w:name="_Toc9519"/>
      <w:bookmarkStart w:id="9" w:name="_Toc20236"/>
      <w:r>
        <w:rPr>
          <w:rFonts w:hint="eastAsia"/>
          <w:lang w:val="en-US" w:eastAsia="zh-CN"/>
        </w:rPr>
        <w:t>内嵌解释器 表达式解释器等</w:t>
      </w:r>
      <w:bookmarkEnd w:id="8"/>
      <w:bookmarkEnd w:id="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Ongl express等   js解释器等  sql解析器（sql驱动）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8692"/>
      <w:bookmarkStart w:id="11" w:name="_Toc28621"/>
      <w:r>
        <w:rPr>
          <w:rFonts w:hint="eastAsia"/>
          <w:lang w:val="en-US" w:eastAsia="zh-CN"/>
        </w:rPr>
        <w:t>尽可能配置化动态化</w:t>
      </w:r>
      <w:bookmarkEnd w:id="10"/>
      <w:bookmarkEnd w:id="11"/>
      <w:r>
        <w:rPr>
          <w:rFonts w:hint="eastAsia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23163"/>
      <w:bookmarkStart w:id="13" w:name="_Toc2777"/>
      <w:r>
        <w:rPr>
          <w:rFonts w:hint="eastAsia"/>
          <w:lang w:val="en-US" w:eastAsia="zh-CN"/>
        </w:rPr>
        <w:t>Scheme less</w:t>
      </w:r>
      <w:bookmarkEnd w:id="12"/>
      <w:r>
        <w:rPr>
          <w:rFonts w:hint="eastAsia"/>
          <w:lang w:val="en-US" w:eastAsia="zh-CN"/>
        </w:rPr>
        <w:t xml:space="preserve"> Scheme free模式 多使用弱类型结构json等</w:t>
      </w:r>
      <w:bookmarkEnd w:id="1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常见的弱类型结构还有H5 xml等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9142"/>
      <w:r>
        <w:rPr>
          <w:rFonts w:hint="eastAsia"/>
          <w:lang w:val="en-US" w:eastAsia="zh-CN"/>
        </w:rPr>
        <w:t>对于编译类型语言，多使用map等动态结构</w:t>
      </w:r>
      <w:bookmarkEnd w:id="1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Ui收集参数可使用request的map结构。。与后端orm工具交互参数也是map 等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13646"/>
      <w:r>
        <w:rPr>
          <w:rFonts w:hint="eastAsia"/>
          <w:lang w:val="en-US" w:eastAsia="zh-CN"/>
        </w:rPr>
        <w:t>中间层通道化 驱动化</w:t>
      </w:r>
      <w:bookmarkEnd w:id="15"/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23918"/>
      <w:r>
        <w:rPr>
          <w:rFonts w:hint="eastAsia"/>
          <w:lang w:val="en-US" w:eastAsia="zh-CN"/>
        </w:rPr>
        <w:t>无中心节点，避免庞大组件出现</w:t>
      </w:r>
      <w:bookmarkEnd w:id="16"/>
    </w:p>
    <w:p>
      <w:pPr>
        <w:pStyle w:val="3"/>
        <w:bidi w:val="0"/>
        <w:rPr>
          <w:rFonts w:hint="default"/>
          <w:lang w:val="en-US" w:eastAsia="zh-CN"/>
        </w:rPr>
      </w:pPr>
      <w:bookmarkStart w:id="17" w:name="_Toc14857"/>
      <w:r>
        <w:rPr>
          <w:rFonts w:hint="eastAsia"/>
          <w:lang w:val="en-US" w:eastAsia="zh-CN"/>
        </w:rPr>
        <w:t>Ioc 回调模式</w:t>
      </w:r>
      <w:bookmarkEnd w:id="1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主要用在静态语言里面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但ioc滥用可能会影响可读性，在3.5gl 4gl 动态语言里面使用少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8759"/>
      <w:r>
        <w:rPr>
          <w:rFonts w:hint="eastAsia"/>
          <w:lang w:val="en-US" w:eastAsia="zh-CN"/>
        </w:rPr>
        <w:t>尽可能简洁减少代码数量，特别静态语言类</w:t>
      </w:r>
      <w:bookmarkEnd w:id="1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简洁意味着数量少，即使修改也修改范围小，工作量少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层次简化，减少不必要的类数量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bookmarkStart w:id="19" w:name="_Toc14556"/>
      <w:r>
        <w:rPr>
          <w:rFonts w:hint="eastAsia"/>
          <w:lang w:val="en-US" w:eastAsia="zh-CN"/>
        </w:rPr>
        <w:t>其他一些扩展性方法</w:t>
      </w:r>
      <w:bookmarkEnd w:id="19"/>
    </w:p>
    <w:p>
      <w:pPr>
        <w:pStyle w:val="3"/>
        <w:bidi w:val="0"/>
      </w:pPr>
      <w:bookmarkStart w:id="20" w:name="_Toc27602"/>
      <w:r>
        <w:rPr>
          <w:rFonts w:hint="eastAsia"/>
          <w:lang w:eastAsia="zh-CN"/>
        </w:rPr>
        <w:t>适当使用写</w:t>
      </w:r>
      <w:r>
        <w:rPr>
          <w:rFonts w:hint="eastAsia"/>
          <w:lang w:val="en-US" w:eastAsia="zh-CN"/>
        </w:rPr>
        <w:t xml:space="preserve"> </w:t>
      </w:r>
      <w:r>
        <w:t>设计模式</w:t>
      </w:r>
      <w:bookmarkEnd w:id="20"/>
    </w:p>
    <w:p>
      <w:pPr>
        <w:bidi w:val="0"/>
      </w:pPr>
    </w:p>
    <w:p>
      <w:pPr>
        <w:bidi w:val="0"/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架构解耦和测试的工具，以及各种设计模式解决方案，比如</w:t>
      </w:r>
      <w:r>
        <w:rPr>
          <w:rFonts w:hint="eastAsia" w:ascii="微软雅黑" w:hAnsi="微软雅黑" w:eastAsia="微软雅黑" w:cs="微软雅黑"/>
          <w:i w:val="0"/>
          <w:caps w:val="0"/>
          <w:color w:val="00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66CC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"http://en.wikipedia.org/wiki/Dependency_injection" </w:instrText>
      </w:r>
      <w:r>
        <w:rPr>
          <w:rFonts w:hint="eastAsia" w:ascii="微软雅黑" w:hAnsi="微软雅黑" w:eastAsia="微软雅黑" w:cs="微软雅黑"/>
          <w:i w:val="0"/>
          <w:caps w:val="0"/>
          <w:color w:val="00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eastAsia" w:ascii="微软雅黑" w:hAnsi="微软雅黑" w:eastAsia="微软雅黑" w:cs="微软雅黑"/>
          <w:i w:val="0"/>
          <w:caps w:val="0"/>
          <w:color w:val="0066CC"/>
          <w:spacing w:val="0"/>
          <w:sz w:val="21"/>
          <w:szCs w:val="21"/>
          <w:u w:val="none"/>
          <w:bdr w:val="none" w:color="auto" w:sz="0" w:space="0"/>
          <w:shd w:val="clear" w:fill="FFFFFF"/>
        </w:rPr>
        <w:t>依赖注入</w:t>
      </w:r>
      <w:r>
        <w:rPr>
          <w:rFonts w:hint="eastAsia" w:ascii="微软雅黑" w:hAnsi="微软雅黑" w:eastAsia="微软雅黑" w:cs="微软雅黑"/>
          <w:i w:val="0"/>
          <w:caps w:val="0"/>
          <w:color w:val="00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（dependency injection）、</w:t>
      </w:r>
      <w:r>
        <w:rPr>
          <w:rFonts w:hint="eastAsia" w:ascii="微软雅黑" w:hAnsi="微软雅黑" w:eastAsia="微软雅黑" w:cs="微软雅黑"/>
          <w:i w:val="0"/>
          <w:caps w:val="0"/>
          <w:color w:val="00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66CC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"http://en.wikipedia.org/wiki/Observer_pattern" </w:instrText>
      </w:r>
      <w:r>
        <w:rPr>
          <w:rFonts w:hint="eastAsia" w:ascii="微软雅黑" w:hAnsi="微软雅黑" w:eastAsia="微软雅黑" w:cs="微软雅黑"/>
          <w:i w:val="0"/>
          <w:caps w:val="0"/>
          <w:color w:val="00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eastAsia" w:ascii="微软雅黑" w:hAnsi="微软雅黑" w:eastAsia="微软雅黑" w:cs="微软雅黑"/>
          <w:i w:val="0"/>
          <w:caps w:val="0"/>
          <w:color w:val="0066CC"/>
          <w:spacing w:val="0"/>
          <w:sz w:val="21"/>
          <w:szCs w:val="21"/>
          <w:u w:val="none"/>
          <w:bdr w:val="none" w:color="auto" w:sz="0" w:space="0"/>
          <w:shd w:val="clear" w:fill="FFFFFF"/>
        </w:rPr>
        <w:t>观察者模式</w:t>
      </w:r>
      <w:r>
        <w:rPr>
          <w:rFonts w:hint="eastAsia" w:ascii="微软雅黑" w:hAnsi="微软雅黑" w:eastAsia="微软雅黑" w:cs="微软雅黑"/>
          <w:i w:val="0"/>
          <w:caps w:val="0"/>
          <w:color w:val="00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（observer pattern）、</w:t>
      </w:r>
      <w:r>
        <w:rPr>
          <w:rFonts w:hint="eastAsia" w:ascii="微软雅黑" w:hAnsi="微软雅黑" w:eastAsia="微软雅黑" w:cs="微软雅黑"/>
          <w:i w:val="0"/>
          <w:caps w:val="0"/>
          <w:color w:val="00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66CC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"http://en.wikipedia.org/wiki/Mediator_pattern" </w:instrText>
      </w:r>
      <w:r>
        <w:rPr>
          <w:rFonts w:hint="eastAsia" w:ascii="微软雅黑" w:hAnsi="微软雅黑" w:eastAsia="微软雅黑" w:cs="微软雅黑"/>
          <w:i w:val="0"/>
          <w:caps w:val="0"/>
          <w:color w:val="00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eastAsia" w:ascii="微软雅黑" w:hAnsi="微软雅黑" w:eastAsia="微软雅黑" w:cs="微软雅黑"/>
          <w:i w:val="0"/>
          <w:caps w:val="0"/>
          <w:color w:val="0066CC"/>
          <w:spacing w:val="0"/>
          <w:sz w:val="21"/>
          <w:szCs w:val="21"/>
          <w:u w:val="none"/>
          <w:bdr w:val="none" w:color="auto" w:sz="0" w:space="0"/>
          <w:shd w:val="clear" w:fill="FFFFFF"/>
        </w:rPr>
        <w:t>中介者模式</w:t>
      </w:r>
      <w:r>
        <w:rPr>
          <w:rFonts w:hint="eastAsia" w:ascii="微软雅黑" w:hAnsi="微软雅黑" w:eastAsia="微软雅黑" w:cs="微软雅黑"/>
          <w:i w:val="0"/>
          <w:caps w:val="0"/>
          <w:color w:val="00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（mediator pattern）、</w:t>
      </w:r>
      <w:r>
        <w:rPr>
          <w:rFonts w:hint="eastAsia" w:ascii="微软雅黑" w:hAnsi="微软雅黑" w:eastAsia="微软雅黑" w:cs="微软雅黑"/>
          <w:i w:val="0"/>
          <w:caps w:val="0"/>
          <w:color w:val="00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66CC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"http://en.wikipedia.org/wiki/Facade_pattern" </w:instrText>
      </w:r>
      <w:r>
        <w:rPr>
          <w:rFonts w:hint="eastAsia" w:ascii="微软雅黑" w:hAnsi="微软雅黑" w:eastAsia="微软雅黑" w:cs="微软雅黑"/>
          <w:i w:val="0"/>
          <w:caps w:val="0"/>
          <w:color w:val="00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eastAsia" w:ascii="微软雅黑" w:hAnsi="微软雅黑" w:eastAsia="微软雅黑" w:cs="微软雅黑"/>
          <w:i w:val="0"/>
          <w:caps w:val="0"/>
          <w:color w:val="0066CC"/>
          <w:spacing w:val="0"/>
          <w:sz w:val="21"/>
          <w:szCs w:val="21"/>
          <w:u w:val="none"/>
          <w:bdr w:val="none" w:color="auto" w:sz="0" w:space="0"/>
          <w:shd w:val="clear" w:fill="FFFFFF"/>
        </w:rPr>
        <w:t>外观模式</w:t>
      </w:r>
      <w:r>
        <w:rPr>
          <w:rFonts w:hint="eastAsia" w:ascii="微软雅黑" w:hAnsi="微软雅黑" w:eastAsia="微软雅黑" w:cs="微软雅黑"/>
          <w:i w:val="0"/>
          <w:caps w:val="0"/>
          <w:color w:val="00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（facade pattern）、</w:t>
      </w:r>
      <w:r>
        <w:rPr>
          <w:rFonts w:hint="eastAsia" w:ascii="微软雅黑" w:hAnsi="微软雅黑" w:eastAsia="微软雅黑" w:cs="微软雅黑"/>
          <w:i w:val="0"/>
          <w:caps w:val="0"/>
          <w:color w:val="00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66CC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"http://en.wikipedia.org/wiki/Command_pattern" </w:instrText>
      </w:r>
      <w:r>
        <w:rPr>
          <w:rFonts w:hint="eastAsia" w:ascii="微软雅黑" w:hAnsi="微软雅黑" w:eastAsia="微软雅黑" w:cs="微软雅黑"/>
          <w:i w:val="0"/>
          <w:caps w:val="0"/>
          <w:color w:val="00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eastAsia" w:ascii="微软雅黑" w:hAnsi="微软雅黑" w:eastAsia="微软雅黑" w:cs="微软雅黑"/>
          <w:i w:val="0"/>
          <w:caps w:val="0"/>
          <w:color w:val="0066CC"/>
          <w:spacing w:val="0"/>
          <w:sz w:val="21"/>
          <w:szCs w:val="21"/>
          <w:u w:val="none"/>
          <w:bdr w:val="none" w:color="auto" w:sz="0" w:space="0"/>
          <w:shd w:val="clear" w:fill="FFFFFF"/>
        </w:rPr>
        <w:t>命令模式</w:t>
      </w:r>
      <w:r>
        <w:rPr>
          <w:rFonts w:hint="eastAsia" w:ascii="微软雅黑" w:hAnsi="微软雅黑" w:eastAsia="微软雅黑" w:cs="微软雅黑"/>
          <w:i w:val="0"/>
          <w:caps w:val="0"/>
          <w:color w:val="00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（command pattern）</w:t>
      </w:r>
    </w:p>
    <w:p>
      <w:pPr>
        <w:pStyle w:val="3"/>
        <w:bidi w:val="0"/>
        <w:rPr>
          <w:rFonts w:hint="eastAsia"/>
          <w:lang w:eastAsia="zh-CN"/>
        </w:rPr>
      </w:pPr>
      <w:bookmarkStart w:id="21" w:name="_Toc240"/>
      <w:r>
        <w:rPr>
          <w:rFonts w:hint="eastAsia"/>
          <w:lang w:eastAsia="zh-CN"/>
        </w:rPr>
        <w:t>适当抽象</w:t>
      </w:r>
      <w:bookmarkEnd w:id="21"/>
    </w:p>
    <w:p>
      <w:pPr>
        <w:pStyle w:val="3"/>
        <w:bidi w:val="0"/>
        <w:rPr>
          <w:rFonts w:hint="default"/>
          <w:lang w:val="en-US" w:eastAsia="zh-CN"/>
        </w:rPr>
      </w:pPr>
      <w:bookmarkStart w:id="22" w:name="_Toc16261"/>
      <w:r>
        <w:rPr>
          <w:rFonts w:hint="eastAsia"/>
          <w:lang w:eastAsia="zh-CN"/>
        </w:rPr>
        <w:t>产品化</w:t>
      </w:r>
      <w:r>
        <w:rPr>
          <w:rFonts w:hint="eastAsia"/>
          <w:lang w:val="en-US" w:eastAsia="zh-CN"/>
        </w:rPr>
        <w:t xml:space="preserve">  </w:t>
      </w:r>
      <w:r>
        <w:t>为“普罗大众”去设计，而不是为“个例”设计</w:t>
      </w:r>
      <w:bookmarkEnd w:id="22"/>
    </w:p>
    <w:p>
      <w:pPr>
        <w:pStyle w:val="2"/>
        <w:bidi w:val="0"/>
        <w:rPr>
          <w:rFonts w:hint="eastAsia"/>
          <w:lang w:eastAsia="zh-CN"/>
        </w:rPr>
      </w:pPr>
      <w:bookmarkStart w:id="23" w:name="_Toc12849"/>
      <w:r>
        <w:rPr>
          <w:rFonts w:hint="eastAsia"/>
          <w:lang w:eastAsia="zh-CN"/>
        </w:rPr>
        <w:t>提升可读性</w:t>
      </w:r>
      <w:bookmarkEnd w:id="23"/>
    </w:p>
    <w:p>
      <w:pPr>
        <w:pStyle w:val="3"/>
        <w:bidi w:val="0"/>
        <w:rPr>
          <w:rFonts w:hint="eastAsia"/>
          <w:lang w:eastAsia="zh-CN"/>
        </w:rPr>
      </w:pPr>
      <w:bookmarkStart w:id="24" w:name="_Toc5723"/>
      <w:r>
        <w:rPr>
          <w:rFonts w:hint="eastAsia"/>
          <w:lang w:eastAsia="zh-CN"/>
        </w:rPr>
        <w:t>本地化</w:t>
      </w:r>
      <w:bookmarkEnd w:id="24"/>
    </w:p>
    <w:p>
      <w:pPr>
        <w:pStyle w:val="3"/>
        <w:bidi w:val="0"/>
        <w:rPr>
          <w:rFonts w:hint="default"/>
          <w:lang w:val="en-US" w:eastAsia="zh-CN"/>
        </w:rPr>
      </w:pPr>
      <w:bookmarkStart w:id="25" w:name="_Toc7935"/>
      <w:r>
        <w:rPr>
          <w:rFonts w:hint="eastAsia"/>
          <w:lang w:val="en-US" w:eastAsia="zh-CN"/>
        </w:rPr>
        <w:t>Dsl 自然语言化</w:t>
      </w:r>
      <w:bookmarkEnd w:id="25"/>
    </w:p>
    <w:p>
      <w:pPr>
        <w:pStyle w:val="3"/>
        <w:bidi w:val="0"/>
        <w:rPr>
          <w:rFonts w:hint="default"/>
          <w:lang w:val="en-US" w:eastAsia="zh-CN"/>
        </w:rPr>
      </w:pPr>
      <w:bookmarkStart w:id="26" w:name="_Toc26775"/>
      <w:r>
        <w:rPr>
          <w:rFonts w:hint="eastAsia"/>
          <w:lang w:val="en-US" w:eastAsia="zh-CN"/>
        </w:rPr>
        <w:t>控制转移法 比如查表法代替if else判断</w:t>
      </w:r>
      <w:bookmarkEnd w:id="26"/>
    </w:p>
    <w:p>
      <w:pPr>
        <w:pStyle w:val="3"/>
        <w:bidi w:val="0"/>
        <w:rPr>
          <w:rFonts w:hint="default"/>
          <w:lang w:val="en-US" w:eastAsia="zh-CN"/>
        </w:rPr>
      </w:pPr>
      <w:bookmarkStart w:id="27" w:name="_Toc6260"/>
      <w:r>
        <w:rPr>
          <w:rFonts w:hint="eastAsia"/>
          <w:lang w:val="en-US" w:eastAsia="zh-CN"/>
        </w:rPr>
        <w:t>多同步法 少异步</w:t>
      </w:r>
      <w:bookmarkEnd w:id="27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8" w:name="_Toc32098"/>
      <w:r>
        <w:rPr>
          <w:rFonts w:hint="eastAsia"/>
          <w:lang w:val="en-US" w:eastAsia="zh-CN"/>
        </w:rPr>
        <w:t>ref</w:t>
      </w:r>
      <w:bookmarkEnd w:id="28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项目高扩展法.docx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E6A03"/>
    <w:multiLevelType w:val="multilevel"/>
    <w:tmpl w:val="1FAE6A0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EE4F22"/>
    <w:rsid w:val="003F4401"/>
    <w:rsid w:val="00D10BBE"/>
    <w:rsid w:val="05370B4C"/>
    <w:rsid w:val="0576339C"/>
    <w:rsid w:val="05F9530F"/>
    <w:rsid w:val="06E72C44"/>
    <w:rsid w:val="072D445B"/>
    <w:rsid w:val="0A0441D2"/>
    <w:rsid w:val="0A785A0B"/>
    <w:rsid w:val="0BB250E2"/>
    <w:rsid w:val="0E614528"/>
    <w:rsid w:val="0F2B7364"/>
    <w:rsid w:val="121931B5"/>
    <w:rsid w:val="1553219B"/>
    <w:rsid w:val="16D4302E"/>
    <w:rsid w:val="179C2523"/>
    <w:rsid w:val="19D3566F"/>
    <w:rsid w:val="1A4F42DE"/>
    <w:rsid w:val="1B6C2CE4"/>
    <w:rsid w:val="1C6F3CFD"/>
    <w:rsid w:val="1F693AB6"/>
    <w:rsid w:val="245E65E0"/>
    <w:rsid w:val="252E3B9D"/>
    <w:rsid w:val="26FE1C1D"/>
    <w:rsid w:val="28013A55"/>
    <w:rsid w:val="2CA21E9A"/>
    <w:rsid w:val="2CEE4F22"/>
    <w:rsid w:val="2D667E20"/>
    <w:rsid w:val="2E803598"/>
    <w:rsid w:val="31A6216A"/>
    <w:rsid w:val="332A52F2"/>
    <w:rsid w:val="35955B60"/>
    <w:rsid w:val="36B557A0"/>
    <w:rsid w:val="384D55BC"/>
    <w:rsid w:val="39B66B84"/>
    <w:rsid w:val="3CC51B63"/>
    <w:rsid w:val="409A4ABF"/>
    <w:rsid w:val="41A767E6"/>
    <w:rsid w:val="42841671"/>
    <w:rsid w:val="42BA4CBE"/>
    <w:rsid w:val="44125837"/>
    <w:rsid w:val="454D3131"/>
    <w:rsid w:val="469A74E9"/>
    <w:rsid w:val="46D1576E"/>
    <w:rsid w:val="47626DB2"/>
    <w:rsid w:val="47A97877"/>
    <w:rsid w:val="48794536"/>
    <w:rsid w:val="4A070BA3"/>
    <w:rsid w:val="4B5B3347"/>
    <w:rsid w:val="4BBD4BB0"/>
    <w:rsid w:val="4DAE5ACE"/>
    <w:rsid w:val="4DC618CA"/>
    <w:rsid w:val="4E8907C2"/>
    <w:rsid w:val="4F684DB0"/>
    <w:rsid w:val="4FF2675F"/>
    <w:rsid w:val="4FFE5E2F"/>
    <w:rsid w:val="52C11E6F"/>
    <w:rsid w:val="553828CC"/>
    <w:rsid w:val="557540E5"/>
    <w:rsid w:val="57DF47D9"/>
    <w:rsid w:val="59265511"/>
    <w:rsid w:val="59742CCC"/>
    <w:rsid w:val="59D322AA"/>
    <w:rsid w:val="5ACE2D42"/>
    <w:rsid w:val="5ADF10D0"/>
    <w:rsid w:val="5C3D5D55"/>
    <w:rsid w:val="605B2380"/>
    <w:rsid w:val="609921F9"/>
    <w:rsid w:val="618E13AC"/>
    <w:rsid w:val="620F75E2"/>
    <w:rsid w:val="62587426"/>
    <w:rsid w:val="65A32572"/>
    <w:rsid w:val="65F4704A"/>
    <w:rsid w:val="67E227BE"/>
    <w:rsid w:val="68627DA9"/>
    <w:rsid w:val="69096EF8"/>
    <w:rsid w:val="6B662CA2"/>
    <w:rsid w:val="6B8168A4"/>
    <w:rsid w:val="6BA8413F"/>
    <w:rsid w:val="6CCD583C"/>
    <w:rsid w:val="6CDC0A76"/>
    <w:rsid w:val="717170D1"/>
    <w:rsid w:val="729D5AA9"/>
    <w:rsid w:val="72FB7697"/>
    <w:rsid w:val="736967A7"/>
    <w:rsid w:val="73CF4AA2"/>
    <w:rsid w:val="744307D1"/>
    <w:rsid w:val="762402A9"/>
    <w:rsid w:val="76682A22"/>
    <w:rsid w:val="76F91E6D"/>
    <w:rsid w:val="7B3B2F4F"/>
    <w:rsid w:val="7CB1355F"/>
    <w:rsid w:val="7F982E45"/>
    <w:rsid w:val="7FE51B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table" w:styleId="14">
    <w:name w:val="Table Grid"/>
    <w:basedOn w:val="1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6">
    <w:name w:val="Hyperlink"/>
    <w:basedOn w:val="1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2019-08-08T01:22:00Z</dcterms:created>
  <dc:creator>ATI老哇的爪子007</dc:creator>
  <cp:lastModifiedBy>ATI老哇的爪子007</cp:lastModifiedBy>
  <dcterms:modified xsi:type="dcterms:W3CDTF">2019-08-08T02:05:10Z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