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api设计--------提升扩展性最简化设计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使用stream 兼容高性能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使用file 兼容目录与文件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 w:ascii="Consolas" w:hAnsi="Consolas" w:eastAsia="Consolas"/>
          <w:color w:val="82677E"/>
          <w:sz w:val="24"/>
          <w:highlight w:val="black"/>
          <w:u w:val="single"/>
        </w:rPr>
        <w:t>Consumer</w:t>
      </w:r>
      <w: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  <w:t xml:space="preserve">  兼容回调  高性能借口</w:t>
      </w:r>
    </w:p>
    <w:p>
      <w:pP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</w:pPr>
    </w:p>
    <w:p>
      <w:pP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</w:pPr>
      <w: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  <w:t>细粒度 api</w:t>
      </w:r>
    </w:p>
    <w:p>
      <w:pP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</w:pPr>
    </w:p>
    <w:p>
      <w:pP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</w:pPr>
      <w: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  <w:t xml:space="preserve">异常在方法定义 </w:t>
      </w:r>
      <w:bookmarkStart w:id="0" w:name="_GoBack"/>
      <w:bookmarkEnd w:id="0"/>
      <w: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  <w:t xml:space="preserve">throw </w:t>
      </w:r>
    </w:p>
    <w:p>
      <w:pP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</w:pPr>
    </w:p>
    <w:p>
      <w:pP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</w:pPr>
      <w: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lib api design 原则 类库设计原则 </w:t>
      </w:r>
    </w:p>
    <w:p>
      <w:pP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5B7CB0"/>
    <w:rsid w:val="1F2B2E43"/>
    <w:rsid w:val="3925380C"/>
    <w:rsid w:val="3B801739"/>
    <w:rsid w:val="3D75526F"/>
    <w:rsid w:val="6D535020"/>
    <w:rsid w:val="7305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2018-06-22T08:56:00Z</dcterms:created>
  <dc:creator>ATI老哇的爪子007</dc:creator>
  <cp:lastModifiedBy>ATI老哇的爪子007</cp:lastModifiedBy>
  <dcterms:modified xsi:type="dcterms:W3CDTF">2018-06-22T08:58:29Z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