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 现代编程语言重要特性</w:t>
      </w:r>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r>
        <w:rPr>
          <w:rFonts w:hint="eastAsia" w:ascii="宋体" w:hAnsi="宋体" w:eastAsia="宋体" w:cs="宋体"/>
          <w:b w:val="0"/>
          <w:i w:val="0"/>
          <w:caps w:val="0"/>
          <w:color w:val="333333"/>
          <w:spacing w:val="0"/>
          <w:sz w:val="18"/>
          <w:szCs w:val="18"/>
          <w:shd w:val="clear" w:fill="F8F8F8"/>
        </w:rPr>
        <w:t>强类型机制</w:t>
      </w:r>
      <w:r>
        <w:rPr>
          <w:rFonts w:hint="eastAsia" w:ascii="宋体" w:hAnsi="宋体" w:eastAsia="宋体" w:cs="宋体"/>
          <w:b w:val="0"/>
          <w:i w:val="0"/>
          <w:caps w:val="0"/>
          <w:color w:val="333333"/>
          <w:spacing w:val="0"/>
          <w:sz w:val="18"/>
          <w:szCs w:val="18"/>
          <w:shd w:val="clear" w:fill="F8F8F8"/>
          <w:lang w:val="en-US" w:eastAsia="zh-CN"/>
        </w:rPr>
        <w:t xml:space="preserve">  ，但是只有系统类型，没有用户类型。。比如user等。。</w:t>
      </w:r>
    </w:p>
    <w:p>
      <w:pPr>
        <w:rPr>
          <w:rFonts w:hint="eastAsia" w:ascii="宋体" w:hAnsi="宋体" w:eastAsia="宋体" w:cs="宋体"/>
          <w:b w:val="0"/>
          <w:i w:val="0"/>
          <w:caps w:val="0"/>
          <w:color w:val="333333"/>
          <w:spacing w:val="0"/>
          <w:sz w:val="18"/>
          <w:szCs w:val="18"/>
          <w:shd w:val="clear" w:fill="F8F8F8"/>
          <w:lang w:val="en-US" w:eastAsia="zh-CN"/>
        </w:rPr>
      </w:pPr>
    </w:p>
    <w:tbl>
      <w:tblPr>
        <w:tblW w:w="622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1090"/>
        <w:gridCol w:w="642"/>
        <w:gridCol w:w="642"/>
        <w:gridCol w:w="642"/>
        <w:gridCol w:w="642"/>
        <w:gridCol w:w="642"/>
        <w:gridCol w:w="642"/>
        <w:gridCol w:w="642"/>
        <w:gridCol w:w="64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bdr w:val="none" w:color="auto" w:sz="0" w:space="0"/>
              </w:rPr>
              <w:t>垃圾回收</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bdr w:val="none" w:color="auto" w:sz="0" w:space="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bdr w:val="none" w:color="auto" w:sz="0" w:space="0"/>
              </w:rPr>
              <w:t>多重继承</w:t>
            </w: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r>
    </w:tbl>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强类型机制"是指在声明变量的时候，语言的规范强制程序员编程的程度。在"强类型机制"类型的语言中(大部分现代语言都支持强类型机制)，每一个数据的取值和使用的对象都必须从属于对上下文来说合适的类型。静态类型语言在编译时使用类型检查强制类型转换。动态类型语言在运行时检查类型，</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lang w:val="en-US" w:eastAsia="zh-CN"/>
        </w:rPr>
      </w:pPr>
      <w:r>
        <w:rPr>
          <w:rFonts w:hint="eastAsia" w:ascii="宋体" w:hAnsi="宋体" w:eastAsia="宋体" w:cs="宋体"/>
          <w:b w:val="0"/>
          <w:i w:val="0"/>
          <w:caps w:val="0"/>
          <w:color w:val="333333"/>
          <w:spacing w:val="0"/>
          <w:sz w:val="21"/>
          <w:szCs w:val="21"/>
          <w:shd w:val="clear" w:fill="F8F8F8"/>
        </w:rPr>
        <w:t>多重继承最小化代码复制的数量，进而减少可能引起维护问题的不一致性，所以很重要。在静态类型语言中，多重继承可能允许新的类主动位于所有超类之下，这减少了系统其他部分需要的特例编程的数量。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2ABE"/>
    <w:rsid w:val="031B3012"/>
    <w:rsid w:val="1EAE5D06"/>
    <w:rsid w:val="5D2852F4"/>
    <w:rsid w:val="5E900D88"/>
    <w:rsid w:val="5FBA4936"/>
    <w:rsid w:val="6E882ABE"/>
    <w:rsid w:val="6F7D66E9"/>
    <w:rsid w:val="7EE156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2016-11-11T10:33:00Z</dcterms:created>
  <dc:creator>Administrator</dc:creator>
  <cp:lastModifiedBy>Administrator</cp:lastModifiedBy>
  <dcterms:modified xsi:type="dcterms:W3CDTF">2016-11-11T10:50:33Z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