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soa的实现方式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 服务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corba rest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然而， SOA 已经有所不同了，因为它依赖于一些更新的进展，这些进展是以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"https://baike.baidu.com/item/%E5%8F%AF%E6%89%A9%E5%B1%95%E6%A0%87%E8%AE%B0%E8%AF%AD%E8%A8%80" \t "https://baike.baidu.com/item/SOA/_blank"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可扩展标记语言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（eXtensible Markup Language，XML）为基础的。通过使用基于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"https://baike.baidu.com/item/XML" \t "https://baike.baidu.com/item/SOA/_blank"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XML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"https://baike.baidu.com/item/%E6%A0%87%E5%87%86%E9%80%9A%E7%94%A8%E6%A0%87%E8%AE%B0%E8%AF%AD%E8%A8%80" \t "https://baike.baidu.com/item/SOA/_blank"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标准通用标记语言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的子集） 的语言（称为 Web 服务描述语言（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"https://baike.baidu.com/item/Web Service" \t "https://baike.baidu.com/item/SOA/_blank"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Web Service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 Definition Language，WSDL））来描述接口，服务已经转到更动态且更灵活的接口系统中，非以前 CORBA 中的接口描述语言（Interface Definition Language，IDL）可比了。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Web 服务并不是实现 SOA 的惟一方式。前面刚讲的 CORBA 是另一种方式，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本质上来说，SOA是一种架构模式，而Web服务是利用一组标准实现的服务。Web服务是实现SOA的方式之一。用Web服务来实现SOA的好处是你可以实现一个中立平台，来获得服务，而且随着越来越多的软件商支持越来越多的Web服务规范，你会取得更好的通用性。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SOA和无边界信息流（Boundaryless Information Flow）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The Open Group的愿景是Boundaryless Information Flow.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86400" cy="3667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因为SOA可以带来无边界信息流，所以SOA在The Open Group占据了重要地位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45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使用服务来替代应用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900" w:hanging="360"/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Verdana" w:hAnsi="Verdana" w:cs="Verdan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SOA功能和作用</w:t>
      </w:r>
    </w:p>
    <w:tbl>
      <w:tblPr>
        <w:tblW w:w="85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8"/>
        <w:gridCol w:w="3017"/>
        <w:gridCol w:w="2900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 w:color="auto" w:fill="000000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Style w:val="5"/>
                <w:rFonts w:hint="eastAsia" w:ascii="宋体" w:hAnsi="宋体" w:eastAsia="宋体" w:cs="宋体"/>
                <w:color w:val="FFFFFF"/>
                <w:sz w:val="36"/>
                <w:szCs w:val="36"/>
              </w:rPr>
              <w:t>功能</w:t>
            </w:r>
          </w:p>
        </w:tc>
        <w:tc>
          <w:tcPr>
            <w:tcW w:w="3017" w:type="dxa"/>
            <w:tcBorders>
              <w:top w:val="single" w:color="000000" w:sz="8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 w:color="auto" w:fill="000000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5"/>
                <w:rFonts w:hint="eastAsia" w:ascii="宋体" w:hAnsi="宋体" w:eastAsia="宋体" w:cs="宋体"/>
                <w:color w:val="FFFFFF"/>
                <w:sz w:val="36"/>
                <w:szCs w:val="36"/>
              </w:rPr>
              <w:t>作用</w:t>
            </w:r>
          </w:p>
        </w:tc>
        <w:tc>
          <w:tcPr>
            <w:tcW w:w="2900" w:type="dxa"/>
            <w:tcBorders>
              <w:top w:val="single" w:color="000000" w:sz="8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5"/>
                <w:rFonts w:hint="eastAsia" w:ascii="宋体" w:hAnsi="宋体" w:eastAsia="宋体" w:cs="宋体"/>
                <w:color w:val="FFFFFF"/>
                <w:sz w:val="36"/>
                <w:szCs w:val="36"/>
              </w:rPr>
              <w:t>基础设施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ascii="Corbel" w:hAnsi="Corbel" w:eastAsia="Corbel" w:cs="Corbel"/>
                <w:color w:val="000000"/>
                <w:sz w:val="28"/>
                <w:szCs w:val="28"/>
              </w:rPr>
              <w:t>Service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改善的信息流</w:t>
            </w: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对外公布的能力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功能组织的灵活性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Service Re-use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color w:val="000000"/>
                <w:sz w:val="28"/>
                <w:szCs w:val="28"/>
                <w:bdr w:val="none" w:color="auto" w:sz="0" w:space="0"/>
              </w:rPr>
              <w:t>低的软件开发和管理费用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Service repository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Messaging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配置灵活性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Messaging program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Message Monitoring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商业智能</w:t>
            </w: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  <w:bdr w:val="none" w:color="auto" w:sz="0" w:space="0"/>
              </w:rPr>
              <w:t>Business intelligence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绩效度量</w:t>
            </w: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安全攻击检测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Activity monitor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Message Control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应用管理策略</w:t>
            </w: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应用安全策略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PDPs and PEPs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Message Transformation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数据转换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Data translator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Message Security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数据机密和集成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Encryption engine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Complex Event Processing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简化软件结构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快速适配外部不同环境的能力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提高可管理性和安全性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Event processor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Service Composition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快速开发新的功能组合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Composition engine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Service Discovery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优化绩效、功能和成本的能力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更容易的系统升级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Service registry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Asset Wrapping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集成现有资产的能力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single" w:color="C0C0C0" w:sz="6" w:space="0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Virtualization</w:t>
            </w:r>
          </w:p>
        </w:tc>
        <w:tc>
          <w:tcPr>
            <w:tcW w:w="3017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提高可靠性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可以扩充满足不同要求级别</w:t>
            </w:r>
          </w:p>
        </w:tc>
        <w:tc>
          <w:tcPr>
            <w:tcW w:w="2900" w:type="dxa"/>
            <w:tcBorders>
              <w:top w:val="single" w:color="C0C0C0" w:sz="6" w:space="0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259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Model-driven Implementation</w:t>
            </w:r>
          </w:p>
        </w:tc>
        <w:tc>
          <w:tcPr>
            <w:tcW w:w="3017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C0C0C0" w:sz="6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spacing w:before="0" w:beforeAutospacing="1" w:after="0" w:afterAutospacing="1"/>
              <w:ind w:left="1160" w:hanging="360"/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bdr w:val="none" w:color="auto" w:sz="0" w:space="0"/>
              </w:rPr>
              <w:t>快速开发新功能</w:t>
            </w:r>
          </w:p>
        </w:tc>
        <w:tc>
          <w:tcPr>
            <w:tcW w:w="2900" w:type="dxa"/>
            <w:tcBorders>
              <w:top w:val="nil"/>
              <w:left w:val="single" w:color="C0C0C0" w:sz="6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Model-implementation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</w:pPr>
            <w:r>
              <w:rPr>
                <w:rFonts w:hint="default" w:ascii="Corbel" w:hAnsi="Corbel" w:eastAsia="Corbel" w:cs="Corbel"/>
                <w:color w:val="000000"/>
                <w:sz w:val="28"/>
                <w:szCs w:val="28"/>
              </w:rPr>
              <w:t>environment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D7CCC"/>
    <w:multiLevelType w:val="multilevel"/>
    <w:tmpl w:val="8FCD7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3CDDC8A"/>
    <w:multiLevelType w:val="multilevel"/>
    <w:tmpl w:val="A3CDD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A9DF3541"/>
    <w:multiLevelType w:val="multilevel"/>
    <w:tmpl w:val="A9DF3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CFCEE66"/>
    <w:multiLevelType w:val="multilevel"/>
    <w:tmpl w:val="ACFCE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080624B"/>
    <w:multiLevelType w:val="multilevel"/>
    <w:tmpl w:val="B0806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EE96F11"/>
    <w:multiLevelType w:val="multilevel"/>
    <w:tmpl w:val="DEE96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6CDD4EC"/>
    <w:multiLevelType w:val="multilevel"/>
    <w:tmpl w:val="F6CDD4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85D85B0"/>
    <w:multiLevelType w:val="multilevel"/>
    <w:tmpl w:val="F85D8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B0D42F6"/>
    <w:multiLevelType w:val="multilevel"/>
    <w:tmpl w:val="1B0D42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309A02DC"/>
    <w:multiLevelType w:val="multilevel"/>
    <w:tmpl w:val="309A0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149F922"/>
    <w:multiLevelType w:val="multilevel"/>
    <w:tmpl w:val="3149F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34127F2"/>
    <w:multiLevelType w:val="multilevel"/>
    <w:tmpl w:val="334127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39598AF7"/>
    <w:multiLevelType w:val="multilevel"/>
    <w:tmpl w:val="39598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1DA315B"/>
    <w:multiLevelType w:val="multilevel"/>
    <w:tmpl w:val="41DA31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2F5BC23"/>
    <w:multiLevelType w:val="multilevel"/>
    <w:tmpl w:val="72F5BC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1"/>
  </w:num>
  <w:num w:numId="3">
    <w:abstractNumId w:val="13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14"/>
  </w:num>
  <w:num w:numId="11">
    <w:abstractNumId w:val="12"/>
  </w:num>
  <w:num w:numId="12">
    <w:abstractNumId w:val="6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33C68"/>
    <w:rsid w:val="0FAA01B3"/>
    <w:rsid w:val="1ECD5C6C"/>
    <w:rsid w:val="35C33C68"/>
    <w:rsid w:val="63F801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2018-12-08T11:01:00Z</dcterms:created>
  <dc:creator>ATI老哇的爪子007</dc:creator>
  <cp:lastModifiedBy>ATI老哇的爪子007</cp:lastModifiedBy>
  <dcterms:modified xsi:type="dcterms:W3CDTF">2018-12-08T11:16:18Z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